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81525" w14:textId="0729D0E7" w:rsidR="00BC7BD4" w:rsidRPr="00C821D9" w:rsidRDefault="00BC7BD4" w:rsidP="00BC7BD4">
      <w:pPr>
        <w:pStyle w:val="Header"/>
        <w:tabs>
          <w:tab w:val="right" w:pos="9639"/>
        </w:tabs>
        <w:rPr>
          <w:bCs/>
          <w:noProof w:val="0"/>
          <w:sz w:val="24"/>
          <w:lang w:val="en-GB"/>
        </w:rPr>
      </w:pPr>
      <w:bookmarkStart w:id="0" w:name="OLE_LINK5"/>
      <w:bookmarkStart w:id="1" w:name="OLE_LINK6"/>
      <w:r w:rsidRPr="00BC7BD4">
        <w:rPr>
          <w:bCs/>
          <w:noProof w:val="0"/>
          <w:sz w:val="24"/>
        </w:rPr>
        <w:t xml:space="preserve">3GPP TSG-RAN WG1 Meeting </w:t>
      </w:r>
      <w:r w:rsidR="009B06A2">
        <w:rPr>
          <w:bCs/>
          <w:noProof w:val="0"/>
          <w:sz w:val="24"/>
        </w:rPr>
        <w:t>NRAH#3</w:t>
      </w:r>
      <w:r w:rsidRPr="00BC7BD4">
        <w:rPr>
          <w:bCs/>
          <w:noProof w:val="0"/>
          <w:sz w:val="24"/>
        </w:rPr>
        <w:t xml:space="preserve"> </w:t>
      </w:r>
      <w:r>
        <w:rPr>
          <w:bCs/>
          <w:noProof w:val="0"/>
          <w:sz w:val="24"/>
        </w:rPr>
        <w:tab/>
      </w:r>
      <w:r w:rsidR="005342CB" w:rsidRPr="00C821D9">
        <w:rPr>
          <w:sz w:val="24"/>
          <w:szCs w:val="24"/>
        </w:rPr>
        <w:t>R1-1715755</w:t>
      </w:r>
    </w:p>
    <w:p w14:paraId="06196B30" w14:textId="14924D0A" w:rsidR="009B06A2" w:rsidRDefault="009B06A2" w:rsidP="00BC7BD4">
      <w:pPr>
        <w:pStyle w:val="Header"/>
        <w:tabs>
          <w:tab w:val="left" w:pos="1985"/>
          <w:tab w:val="right" w:pos="9639"/>
        </w:tabs>
        <w:spacing w:line="360" w:lineRule="auto"/>
        <w:rPr>
          <w:bCs/>
          <w:noProof w:val="0"/>
          <w:sz w:val="24"/>
        </w:rPr>
      </w:pPr>
      <w:r w:rsidRPr="009B06A2">
        <w:rPr>
          <w:bCs/>
          <w:noProof w:val="0"/>
          <w:sz w:val="24"/>
        </w:rPr>
        <w:t>Nagoya, Japan, 18</w:t>
      </w:r>
      <w:r w:rsidRPr="00796791">
        <w:rPr>
          <w:bCs/>
          <w:noProof w:val="0"/>
          <w:sz w:val="24"/>
          <w:vertAlign w:val="superscript"/>
        </w:rPr>
        <w:t>th</w:t>
      </w:r>
      <w:r w:rsidR="00796791">
        <w:rPr>
          <w:bCs/>
          <w:noProof w:val="0"/>
          <w:sz w:val="24"/>
        </w:rPr>
        <w:t xml:space="preserve"> </w:t>
      </w:r>
      <w:r w:rsidRPr="009B06A2">
        <w:rPr>
          <w:bCs/>
          <w:noProof w:val="0"/>
          <w:sz w:val="24"/>
        </w:rPr>
        <w:t>-21</w:t>
      </w:r>
      <w:r w:rsidRPr="00796791">
        <w:rPr>
          <w:bCs/>
          <w:noProof w:val="0"/>
          <w:sz w:val="24"/>
          <w:vertAlign w:val="superscript"/>
        </w:rPr>
        <w:t>st</w:t>
      </w:r>
      <w:r w:rsidR="00796791">
        <w:rPr>
          <w:bCs/>
          <w:noProof w:val="0"/>
          <w:sz w:val="24"/>
        </w:rPr>
        <w:t xml:space="preserve"> </w:t>
      </w:r>
      <w:r>
        <w:rPr>
          <w:bCs/>
          <w:noProof w:val="0"/>
          <w:sz w:val="24"/>
        </w:rPr>
        <w:t xml:space="preserve">September </w:t>
      </w:r>
      <w:r w:rsidRPr="009B06A2">
        <w:rPr>
          <w:bCs/>
          <w:noProof w:val="0"/>
          <w:sz w:val="24"/>
        </w:rPr>
        <w:t>2017</w:t>
      </w:r>
    </w:p>
    <w:p w14:paraId="035E9A27" w14:textId="1576B564"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Source:</w:t>
      </w:r>
      <w:r>
        <w:rPr>
          <w:bCs/>
          <w:noProof w:val="0"/>
          <w:sz w:val="24"/>
        </w:rPr>
        <w:tab/>
      </w:r>
      <w:r w:rsidRPr="00BC7BD4">
        <w:rPr>
          <w:bCs/>
          <w:noProof w:val="0"/>
          <w:sz w:val="24"/>
        </w:rPr>
        <w:t xml:space="preserve">Nokia, </w:t>
      </w:r>
      <w:r w:rsidR="00170154">
        <w:rPr>
          <w:bCs/>
          <w:noProof w:val="0"/>
          <w:sz w:val="24"/>
        </w:rPr>
        <w:t xml:space="preserve">Nokia </w:t>
      </w:r>
      <w:r w:rsidRPr="00BC7BD4">
        <w:rPr>
          <w:bCs/>
          <w:noProof w:val="0"/>
          <w:sz w:val="24"/>
        </w:rPr>
        <w:t>Shanghai Bell</w:t>
      </w:r>
    </w:p>
    <w:p w14:paraId="5F4C70D4" w14:textId="360973A7" w:rsidR="00BC7BD4" w:rsidRPr="00BC7BD4" w:rsidRDefault="00BC7BD4" w:rsidP="00403013">
      <w:pPr>
        <w:pStyle w:val="Header"/>
        <w:tabs>
          <w:tab w:val="left" w:pos="1985"/>
          <w:tab w:val="right" w:pos="9639"/>
        </w:tabs>
        <w:spacing w:line="360" w:lineRule="auto"/>
        <w:ind w:left="852" w:hanging="852"/>
        <w:rPr>
          <w:bCs/>
          <w:noProof w:val="0"/>
          <w:sz w:val="24"/>
        </w:rPr>
      </w:pPr>
      <w:r w:rsidRPr="00BC7BD4">
        <w:rPr>
          <w:bCs/>
          <w:noProof w:val="0"/>
          <w:sz w:val="24"/>
        </w:rPr>
        <w:t xml:space="preserve">Title: </w:t>
      </w:r>
      <w:r>
        <w:rPr>
          <w:bCs/>
          <w:noProof w:val="0"/>
          <w:sz w:val="24"/>
        </w:rPr>
        <w:tab/>
      </w:r>
      <w:r w:rsidR="00CD5ED3">
        <w:rPr>
          <w:bCs/>
          <w:noProof w:val="0"/>
          <w:sz w:val="24"/>
        </w:rPr>
        <w:tab/>
      </w:r>
      <w:r w:rsidR="00E11538">
        <w:rPr>
          <w:bCs/>
          <w:noProof w:val="0"/>
          <w:sz w:val="24"/>
        </w:rPr>
        <w:t xml:space="preserve">On </w:t>
      </w:r>
      <w:r w:rsidR="001600F0">
        <w:rPr>
          <w:bCs/>
          <w:noProof w:val="0"/>
          <w:sz w:val="24"/>
        </w:rPr>
        <w:t>remaining aspects of NR CA/DC and BWPs</w:t>
      </w:r>
    </w:p>
    <w:bookmarkEnd w:id="0"/>
    <w:bookmarkEnd w:id="1"/>
    <w:p w14:paraId="12916ABB" w14:textId="39B564AE" w:rsidR="00787640" w:rsidRPr="00C23119" w:rsidRDefault="00BC7BD4" w:rsidP="001600F0">
      <w:pPr>
        <w:pStyle w:val="CRCoverPage"/>
        <w:tabs>
          <w:tab w:val="left" w:pos="1985"/>
          <w:tab w:val="left" w:pos="3012"/>
        </w:tabs>
        <w:spacing w:line="360" w:lineRule="auto"/>
        <w:rPr>
          <w:rFonts w:cs="Arial"/>
          <w:b/>
          <w:bCs/>
          <w:sz w:val="24"/>
          <w:lang w:val="en-US" w:eastAsia="ja-JP"/>
        </w:rPr>
      </w:pPr>
      <w:r>
        <w:rPr>
          <w:rFonts w:cs="Arial"/>
          <w:b/>
          <w:bCs/>
          <w:sz w:val="24"/>
          <w:lang w:val="en-US"/>
        </w:rPr>
        <w:t>Agenda item:</w:t>
      </w:r>
      <w:r>
        <w:rPr>
          <w:rFonts w:cs="Arial"/>
          <w:b/>
          <w:bCs/>
          <w:sz w:val="24"/>
          <w:lang w:val="en-US"/>
        </w:rPr>
        <w:tab/>
      </w:r>
      <w:r w:rsidR="00170154">
        <w:rPr>
          <w:rFonts w:cs="Arial"/>
          <w:b/>
          <w:bCs/>
          <w:sz w:val="24"/>
          <w:lang w:val="en-US"/>
        </w:rPr>
        <w:t>6</w:t>
      </w:r>
      <w:r w:rsidR="00B52300">
        <w:rPr>
          <w:rFonts w:cs="Arial"/>
          <w:b/>
          <w:bCs/>
          <w:sz w:val="24"/>
          <w:lang w:val="en-US"/>
        </w:rPr>
        <w:t>.</w:t>
      </w:r>
      <w:r w:rsidR="00C722CB" w:rsidRPr="00C722CB">
        <w:rPr>
          <w:rFonts w:cs="Arial"/>
          <w:b/>
          <w:bCs/>
          <w:sz w:val="24"/>
          <w:lang w:val="en-US"/>
        </w:rPr>
        <w:t>3.4</w:t>
      </w:r>
      <w:r w:rsidR="001600F0">
        <w:rPr>
          <w:rFonts w:cs="Arial"/>
          <w:b/>
          <w:bCs/>
          <w:sz w:val="24"/>
          <w:lang w:val="en-US"/>
        </w:rPr>
        <w:tab/>
      </w:r>
    </w:p>
    <w:p w14:paraId="6FB8491E" w14:textId="77777777" w:rsidR="0034111C" w:rsidRPr="005342CB" w:rsidRDefault="00787640" w:rsidP="00BC7BD4">
      <w:pPr>
        <w:tabs>
          <w:tab w:val="left" w:pos="1985"/>
        </w:tabs>
        <w:spacing w:line="360" w:lineRule="auto"/>
        <w:rPr>
          <w:rFonts w:ascii="Arial" w:hAnsi="Arial" w:cs="Arial"/>
          <w:b/>
          <w:bCs/>
          <w:sz w:val="24"/>
        </w:rPr>
      </w:pPr>
      <w:r w:rsidRPr="005342CB">
        <w:rPr>
          <w:rFonts w:ascii="Arial" w:hAnsi="Arial" w:cs="Arial"/>
          <w:b/>
          <w:bCs/>
          <w:sz w:val="24"/>
        </w:rPr>
        <w:t>Document for:</w:t>
      </w:r>
      <w:r w:rsidRPr="005342CB">
        <w:rPr>
          <w:rFonts w:ascii="Arial" w:hAnsi="Arial" w:cs="Arial"/>
          <w:b/>
          <w:bCs/>
          <w:sz w:val="24"/>
        </w:rPr>
        <w:tab/>
      </w:r>
      <w:r w:rsidRPr="005342CB">
        <w:rPr>
          <w:rFonts w:ascii="Arial" w:hAnsi="Arial" w:cs="Arial"/>
          <w:b/>
          <w:bCs/>
          <w:sz w:val="24"/>
        </w:rPr>
        <w:tab/>
        <w:t>Discussion and Decision</w:t>
      </w:r>
    </w:p>
    <w:p w14:paraId="0BDA0527" w14:textId="77777777" w:rsidR="0034111C" w:rsidRPr="00C23119" w:rsidRDefault="0034111C">
      <w:pPr>
        <w:pStyle w:val="Heading1"/>
        <w:rPr>
          <w:lang w:val="en-US"/>
        </w:rPr>
      </w:pPr>
      <w:r w:rsidRPr="00C23119">
        <w:rPr>
          <w:lang w:val="en-US"/>
        </w:rPr>
        <w:t>1</w:t>
      </w:r>
      <w:r w:rsidRPr="00C23119">
        <w:rPr>
          <w:lang w:val="en-US"/>
        </w:rPr>
        <w:tab/>
      </w:r>
      <w:r w:rsidR="00EE7FA7" w:rsidRPr="00C23119">
        <w:rPr>
          <w:lang w:val="en-US"/>
        </w:rPr>
        <w:t>Introduction</w:t>
      </w:r>
    </w:p>
    <w:p w14:paraId="3ECC41D6" w14:textId="29AD5EDC" w:rsidR="00747022" w:rsidRPr="004B1850" w:rsidRDefault="005C65DC" w:rsidP="009F2BEB">
      <w:pPr>
        <w:spacing w:before="120" w:after="120"/>
        <w:jc w:val="both"/>
        <w:rPr>
          <w:rFonts w:ascii="Times New Roman"/>
        </w:rPr>
      </w:pPr>
      <w:r w:rsidRPr="004B1850">
        <w:rPr>
          <w:rFonts w:ascii="Times New Roman"/>
        </w:rPr>
        <w:t>In RAN1#90 the following agreements with respect to NR CA were agreed:</w:t>
      </w:r>
    </w:p>
    <w:p w14:paraId="0B21B075" w14:textId="77777777" w:rsidR="005C65DC" w:rsidRPr="005C65DC" w:rsidRDefault="005C65DC" w:rsidP="005C65DC">
      <w:pPr>
        <w:tabs>
          <w:tab w:val="left" w:pos="1440"/>
        </w:tabs>
        <w:spacing w:after="0" w:line="240" w:lineRule="auto"/>
        <w:textAlignment w:val="baseline"/>
        <w:rPr>
          <w:rFonts w:ascii="Times New Roman" w:eastAsia="Times New Roman" w:hAnsi="Times New Roman" w:cs="Times New Roman"/>
          <w:sz w:val="20"/>
          <w:szCs w:val="20"/>
          <w:lang w:eastAsia="fi-FI"/>
        </w:rPr>
      </w:pPr>
      <w:r w:rsidRPr="005C65DC">
        <w:rPr>
          <w:rFonts w:ascii="Times" w:eastAsia="MS Mincho" w:hAnsi="Times" w:cs="Times New Roman"/>
          <w:b/>
          <w:bCs/>
          <w:kern w:val="24"/>
          <w:sz w:val="20"/>
          <w:szCs w:val="20"/>
          <w:highlight w:val="green"/>
          <w:u w:val="single"/>
          <w:lang w:eastAsia="fi-FI"/>
        </w:rPr>
        <w:t>Agreements:</w:t>
      </w:r>
    </w:p>
    <w:p w14:paraId="267B3978" w14:textId="77777777" w:rsidR="005C65DC" w:rsidRPr="004B1850" w:rsidRDefault="005C65DC" w:rsidP="00C505D8">
      <w:pPr>
        <w:numPr>
          <w:ilvl w:val="0"/>
          <w:numId w:val="7"/>
        </w:numPr>
        <w:tabs>
          <w:tab w:val="left" w:pos="360"/>
          <w:tab w:val="left" w:pos="1440"/>
        </w:tabs>
        <w:spacing w:after="0" w:line="240" w:lineRule="auto"/>
        <w:ind w:left="1267"/>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Confirm the WA at RAN1 NR AH#2</w:t>
      </w:r>
    </w:p>
    <w:p w14:paraId="60587693" w14:textId="77777777" w:rsidR="005C65DC" w:rsidRPr="004B1850" w:rsidRDefault="005C65DC" w:rsidP="00C505D8">
      <w:pPr>
        <w:numPr>
          <w:ilvl w:val="1"/>
          <w:numId w:val="7"/>
        </w:numPr>
        <w:tabs>
          <w:tab w:val="left" w:pos="1080"/>
          <w:tab w:val="left" w:pos="1440"/>
        </w:tabs>
        <w:spacing w:after="0" w:line="240" w:lineRule="auto"/>
        <w:ind w:left="2606"/>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HARQ-ACK transmission related to multiple DL component carriers is supported for DL component carriers operating with the same and different numerology</w:t>
      </w:r>
    </w:p>
    <w:p w14:paraId="3CC9D845" w14:textId="77777777" w:rsidR="005C65DC" w:rsidRPr="004B1850" w:rsidRDefault="005C65DC" w:rsidP="00C505D8">
      <w:pPr>
        <w:numPr>
          <w:ilvl w:val="2"/>
          <w:numId w:val="7"/>
        </w:numPr>
        <w:tabs>
          <w:tab w:val="left" w:pos="1440"/>
          <w:tab w:val="left" w:pos="1800"/>
        </w:tabs>
        <w:spacing w:after="0" w:line="240" w:lineRule="auto"/>
        <w:ind w:left="3960"/>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The time granularity of a HARQ-ACK transmission on PUCCH, indicated in the DCI scheduling the PDSCH, is based on the numerology of PUCCH transmission</w:t>
      </w:r>
    </w:p>
    <w:p w14:paraId="267A9401" w14:textId="77777777" w:rsidR="005C65DC" w:rsidRPr="004B1850" w:rsidRDefault="005C65DC" w:rsidP="00C505D8">
      <w:pPr>
        <w:numPr>
          <w:ilvl w:val="0"/>
          <w:numId w:val="7"/>
        </w:numPr>
        <w:tabs>
          <w:tab w:val="left" w:pos="360"/>
          <w:tab w:val="left" w:pos="1440"/>
        </w:tabs>
        <w:spacing w:after="0" w:line="240" w:lineRule="auto"/>
        <w:ind w:left="1267"/>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highlight w:val="yellow"/>
          <w:lang w:eastAsia="fi-FI"/>
        </w:rPr>
        <w:t>FFS: For cross-carrier scheduling, support the following functionalities</w:t>
      </w:r>
    </w:p>
    <w:p w14:paraId="478CA209" w14:textId="77777777" w:rsidR="005C65DC" w:rsidRPr="004B1850" w:rsidRDefault="005C65DC" w:rsidP="00C505D8">
      <w:pPr>
        <w:numPr>
          <w:ilvl w:val="1"/>
          <w:numId w:val="7"/>
        </w:numPr>
        <w:tabs>
          <w:tab w:val="left" w:pos="1080"/>
          <w:tab w:val="left" w:pos="1440"/>
        </w:tabs>
        <w:spacing w:after="0" w:line="240" w:lineRule="auto"/>
        <w:ind w:left="2606"/>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highlight w:val="yellow"/>
          <w:lang w:eastAsia="fi-FI"/>
        </w:rPr>
        <w:t>Multi-slot scheduling (i.e., one DCI schedules N slots with N TBs)</w:t>
      </w:r>
    </w:p>
    <w:p w14:paraId="79310B88" w14:textId="77777777" w:rsidR="005C65DC" w:rsidRPr="004B1850" w:rsidRDefault="005C65DC" w:rsidP="00C505D8">
      <w:pPr>
        <w:numPr>
          <w:ilvl w:val="0"/>
          <w:numId w:val="7"/>
        </w:numPr>
        <w:tabs>
          <w:tab w:val="left" w:pos="360"/>
          <w:tab w:val="left" w:pos="1440"/>
        </w:tabs>
        <w:spacing w:after="0" w:line="240" w:lineRule="auto"/>
        <w:ind w:left="1267"/>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For NR CA, for the scenario that all the carriers are 15Khz, around [32.47us] maximum uplink timing difference between two TAGs should be assumed in NR</w:t>
      </w:r>
    </w:p>
    <w:p w14:paraId="69945F8F" w14:textId="77777777" w:rsidR="005C65DC" w:rsidRPr="004B1850" w:rsidRDefault="005C65DC" w:rsidP="00C505D8">
      <w:pPr>
        <w:numPr>
          <w:ilvl w:val="1"/>
          <w:numId w:val="7"/>
        </w:numPr>
        <w:tabs>
          <w:tab w:val="left" w:pos="1080"/>
          <w:tab w:val="left" w:pos="1440"/>
        </w:tabs>
        <w:spacing w:after="0" w:line="240" w:lineRule="auto"/>
        <w:ind w:left="2606"/>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Granularity of TA for SCS = 15kHz is same as LTE</w:t>
      </w:r>
    </w:p>
    <w:p w14:paraId="7C22D43A" w14:textId="77777777" w:rsidR="005C65DC" w:rsidRPr="004B1850" w:rsidRDefault="005C65DC" w:rsidP="00C505D8">
      <w:pPr>
        <w:numPr>
          <w:ilvl w:val="1"/>
          <w:numId w:val="7"/>
        </w:numPr>
        <w:tabs>
          <w:tab w:val="left" w:pos="1080"/>
          <w:tab w:val="left" w:pos="1440"/>
        </w:tabs>
        <w:spacing w:after="0" w:line="240" w:lineRule="auto"/>
        <w:ind w:left="2606"/>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Maximum number of TAGs is 4</w:t>
      </w:r>
    </w:p>
    <w:p w14:paraId="5F34A8C2" w14:textId="77777777" w:rsidR="005C65DC" w:rsidRPr="004B1850" w:rsidRDefault="005C65DC" w:rsidP="00C505D8">
      <w:pPr>
        <w:numPr>
          <w:ilvl w:val="1"/>
          <w:numId w:val="7"/>
        </w:numPr>
        <w:tabs>
          <w:tab w:val="left" w:pos="1080"/>
          <w:tab w:val="left" w:pos="1440"/>
        </w:tabs>
        <w:spacing w:after="0" w:line="240" w:lineRule="auto"/>
        <w:ind w:left="2606"/>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Note: final decision of the maximum timing difference is up to RAN4</w:t>
      </w:r>
    </w:p>
    <w:p w14:paraId="023B05B4" w14:textId="77777777" w:rsidR="005C65DC" w:rsidRPr="00193D35" w:rsidRDefault="005C65DC" w:rsidP="00C505D8">
      <w:pPr>
        <w:numPr>
          <w:ilvl w:val="1"/>
          <w:numId w:val="7"/>
        </w:numPr>
        <w:tabs>
          <w:tab w:val="left" w:pos="1080"/>
          <w:tab w:val="left" w:pos="1440"/>
        </w:tabs>
        <w:spacing w:after="0" w:line="240" w:lineRule="auto"/>
        <w:ind w:left="2606"/>
        <w:contextualSpacing/>
        <w:textAlignment w:val="baseline"/>
        <w:rPr>
          <w:rFonts w:ascii="Times New Roman" w:eastAsia="Times New Roman" w:hAnsi="Times New Roman" w:cs="Times New Roman"/>
          <w:i/>
          <w:sz w:val="20"/>
          <w:szCs w:val="20"/>
          <w:highlight w:val="yellow"/>
          <w:lang w:eastAsia="fi-FI"/>
        </w:rPr>
      </w:pPr>
      <w:r w:rsidRPr="00193D35">
        <w:rPr>
          <w:rFonts w:ascii="Times" w:eastAsia="MS Mincho" w:hAnsi="Times" w:cs="Times New Roman"/>
          <w:i/>
          <w:kern w:val="24"/>
          <w:sz w:val="20"/>
          <w:szCs w:val="20"/>
          <w:highlight w:val="yellow"/>
          <w:lang w:eastAsia="fi-FI"/>
        </w:rPr>
        <w:t>FFS: for other scenarios</w:t>
      </w:r>
    </w:p>
    <w:p w14:paraId="2D567B18" w14:textId="77777777" w:rsidR="005C65DC" w:rsidRPr="004B1850" w:rsidRDefault="005C65DC" w:rsidP="00C505D8">
      <w:pPr>
        <w:numPr>
          <w:ilvl w:val="0"/>
          <w:numId w:val="7"/>
        </w:numPr>
        <w:tabs>
          <w:tab w:val="left" w:pos="360"/>
          <w:tab w:val="left" w:pos="1440"/>
        </w:tabs>
        <w:spacing w:after="0" w:line="240" w:lineRule="auto"/>
        <w:ind w:left="1267"/>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 xml:space="preserve">For NR CA, </w:t>
      </w:r>
      <w:bookmarkStart w:id="2" w:name="_Hlk492382477"/>
      <w:r w:rsidRPr="004B1850">
        <w:rPr>
          <w:rFonts w:ascii="Times" w:eastAsia="MS Mincho" w:hAnsi="Times" w:cs="Times New Roman"/>
          <w:i/>
          <w:kern w:val="24"/>
          <w:sz w:val="20"/>
          <w:szCs w:val="20"/>
          <w:lang w:eastAsia="fi-FI"/>
        </w:rPr>
        <w:t>both semi-static and dynamic HARQ-ACK codebook are supported</w:t>
      </w:r>
    </w:p>
    <w:bookmarkEnd w:id="2"/>
    <w:p w14:paraId="69BD241B" w14:textId="77777777" w:rsidR="005C65DC" w:rsidRPr="004B1850" w:rsidRDefault="005C65DC" w:rsidP="00C505D8">
      <w:pPr>
        <w:numPr>
          <w:ilvl w:val="0"/>
          <w:numId w:val="7"/>
        </w:numPr>
        <w:tabs>
          <w:tab w:val="left" w:pos="360"/>
          <w:tab w:val="left" w:pos="1440"/>
        </w:tabs>
        <w:spacing w:after="0" w:line="240" w:lineRule="auto"/>
        <w:ind w:left="1267"/>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NR supports 2 cell groups for PUCCH for NR CA</w:t>
      </w:r>
    </w:p>
    <w:p w14:paraId="181F0F3B" w14:textId="77777777" w:rsidR="005C65DC" w:rsidRPr="004B1850" w:rsidRDefault="005C65DC" w:rsidP="00C505D8">
      <w:pPr>
        <w:numPr>
          <w:ilvl w:val="1"/>
          <w:numId w:val="7"/>
        </w:numPr>
        <w:tabs>
          <w:tab w:val="left" w:pos="1080"/>
          <w:tab w:val="left" w:pos="1440"/>
        </w:tabs>
        <w:spacing w:after="0" w:line="240" w:lineRule="auto"/>
        <w:ind w:left="2606"/>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NR supports at least the configuration of one carrier transmitting the PUCCH within the cell group</w:t>
      </w:r>
    </w:p>
    <w:p w14:paraId="7A9801BA" w14:textId="008AB693" w:rsidR="005C65DC" w:rsidRPr="004B1850" w:rsidRDefault="005C65DC" w:rsidP="00C505D8">
      <w:pPr>
        <w:numPr>
          <w:ilvl w:val="1"/>
          <w:numId w:val="7"/>
        </w:numPr>
        <w:tabs>
          <w:tab w:val="left" w:pos="1080"/>
          <w:tab w:val="left" w:pos="1440"/>
        </w:tabs>
        <w:spacing w:after="0" w:line="240" w:lineRule="auto"/>
        <w:ind w:left="2606"/>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FFS The carrier transmitting the PUCCH is always PCC and/or carrier(s) transmitting the PUCCH can be SCC in a cell group containing PCC</w:t>
      </w:r>
    </w:p>
    <w:p w14:paraId="648AD3C8" w14:textId="3CEB8A35" w:rsidR="001600F0" w:rsidRPr="004B1850" w:rsidRDefault="001600F0" w:rsidP="001600F0">
      <w:pPr>
        <w:tabs>
          <w:tab w:val="left" w:pos="1080"/>
          <w:tab w:val="left" w:pos="1440"/>
        </w:tabs>
        <w:spacing w:after="0" w:line="240" w:lineRule="auto"/>
        <w:ind w:left="720"/>
        <w:contextualSpacing/>
        <w:textAlignment w:val="baseline"/>
        <w:rPr>
          <w:rFonts w:ascii="Times" w:eastAsia="MS Mincho" w:hAnsi="Times" w:cs="Times New Roman"/>
          <w:i/>
          <w:kern w:val="24"/>
          <w:sz w:val="20"/>
          <w:szCs w:val="20"/>
          <w:lang w:eastAsia="fi-FI"/>
        </w:rPr>
      </w:pPr>
    </w:p>
    <w:p w14:paraId="53D5EACA" w14:textId="77777777" w:rsidR="001600F0" w:rsidRPr="004B1850" w:rsidRDefault="001600F0" w:rsidP="001600F0">
      <w:pPr>
        <w:spacing w:before="120" w:after="120"/>
        <w:jc w:val="both"/>
        <w:rPr>
          <w:rFonts w:ascii="Times New Roman"/>
        </w:rPr>
      </w:pPr>
      <w:r w:rsidRPr="004B1850">
        <w:rPr>
          <w:rFonts w:ascii="Times New Roman"/>
        </w:rPr>
        <w:t>In RAN1#90 the following agreements with respect to NR BWP were agreed:</w:t>
      </w:r>
    </w:p>
    <w:p w14:paraId="509D2857" w14:textId="77777777" w:rsidR="001600F0" w:rsidRPr="004B1850" w:rsidRDefault="001600F0" w:rsidP="001600F0">
      <w:pPr>
        <w:spacing w:before="120" w:after="120"/>
        <w:jc w:val="both"/>
        <w:rPr>
          <w:rFonts w:ascii="Times New Roman"/>
        </w:rPr>
      </w:pPr>
    </w:p>
    <w:p w14:paraId="38216D18" w14:textId="77777777" w:rsidR="001600F0" w:rsidRPr="00616221" w:rsidRDefault="001600F0" w:rsidP="001600F0">
      <w:pPr>
        <w:tabs>
          <w:tab w:val="left" w:pos="1440"/>
        </w:tabs>
        <w:spacing w:after="0" w:line="240" w:lineRule="auto"/>
        <w:textAlignment w:val="baseline"/>
        <w:rPr>
          <w:rFonts w:ascii="Times New Roman" w:eastAsia="Times New Roman" w:hAnsi="Times New Roman" w:cs="Times New Roman"/>
          <w:sz w:val="20"/>
          <w:szCs w:val="20"/>
          <w:lang w:eastAsia="fi-FI"/>
        </w:rPr>
      </w:pPr>
      <w:r w:rsidRPr="00616221">
        <w:rPr>
          <w:rFonts w:ascii="Times" w:eastAsia="MS Mincho" w:hAnsi="Times" w:cs="Times New Roman"/>
          <w:b/>
          <w:bCs/>
          <w:kern w:val="24"/>
          <w:sz w:val="20"/>
          <w:szCs w:val="20"/>
          <w:highlight w:val="green"/>
          <w:u w:val="single"/>
          <w:lang w:eastAsia="fi-FI"/>
        </w:rPr>
        <w:t>Agreements:</w:t>
      </w:r>
    </w:p>
    <w:p w14:paraId="7563033D" w14:textId="77777777" w:rsidR="001600F0" w:rsidRPr="004B1850" w:rsidRDefault="001600F0" w:rsidP="001600F0">
      <w:pPr>
        <w:numPr>
          <w:ilvl w:val="0"/>
          <w:numId w:val="10"/>
        </w:numPr>
        <w:tabs>
          <w:tab w:val="left" w:pos="360"/>
          <w:tab w:val="left" w:pos="1440"/>
        </w:tabs>
        <w:spacing w:after="0" w:line="240" w:lineRule="auto"/>
        <w:ind w:left="851"/>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Common PRB indexing is used at least for DL BWP configuration in RRC connected state</w:t>
      </w:r>
    </w:p>
    <w:p w14:paraId="72802CF9" w14:textId="77777777" w:rsidR="001600F0" w:rsidRPr="004B1850" w:rsidRDefault="001600F0" w:rsidP="001600F0">
      <w:pPr>
        <w:numPr>
          <w:ilvl w:val="1"/>
          <w:numId w:val="10"/>
        </w:numPr>
        <w:tabs>
          <w:tab w:val="left" w:pos="1080"/>
          <w:tab w:val="left" w:pos="1440"/>
        </w:tabs>
        <w:spacing w:after="0" w:line="240" w:lineRule="auto"/>
        <w:ind w:left="851"/>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 xml:space="preserve">The reference point is PRB 0, which is common to all the UEs sharing a wideband CC from network perspective, regardless of whether they are NB, CA, or WB UEs. </w:t>
      </w:r>
    </w:p>
    <w:p w14:paraId="3A4A495D" w14:textId="77777777" w:rsidR="001600F0" w:rsidRPr="004B1850" w:rsidRDefault="001600F0" w:rsidP="001600F0">
      <w:pPr>
        <w:numPr>
          <w:ilvl w:val="1"/>
          <w:numId w:val="10"/>
        </w:numPr>
        <w:tabs>
          <w:tab w:val="left" w:pos="1080"/>
          <w:tab w:val="left" w:pos="1440"/>
        </w:tabs>
        <w:spacing w:after="0" w:line="240" w:lineRule="auto"/>
        <w:ind w:left="851"/>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An offset from PRB 0 to the lowest PRB of the SS block accessed by the UE is configured by high layer signaling</w:t>
      </w:r>
    </w:p>
    <w:p w14:paraId="4EED46D5" w14:textId="77777777" w:rsidR="001600F0" w:rsidRPr="004B1850" w:rsidRDefault="001600F0" w:rsidP="001600F0">
      <w:pPr>
        <w:numPr>
          <w:ilvl w:val="3"/>
          <w:numId w:val="10"/>
        </w:numPr>
        <w:tabs>
          <w:tab w:val="left" w:pos="1440"/>
          <w:tab w:val="left" w:pos="1800"/>
        </w:tabs>
        <w:spacing w:after="0" w:line="240" w:lineRule="auto"/>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highlight w:val="yellow"/>
          <w:lang w:eastAsia="fi-FI"/>
        </w:rPr>
        <w:t>FFS the configuration is by RMSI and/or UE-specific signaling</w:t>
      </w:r>
    </w:p>
    <w:p w14:paraId="7FC32F3E" w14:textId="77777777" w:rsidR="001600F0" w:rsidRPr="004B1850" w:rsidRDefault="001600F0" w:rsidP="001600F0">
      <w:pPr>
        <w:numPr>
          <w:ilvl w:val="1"/>
          <w:numId w:val="10"/>
        </w:numPr>
        <w:tabs>
          <w:tab w:val="left" w:pos="1080"/>
          <w:tab w:val="left" w:pos="1440"/>
        </w:tabs>
        <w:spacing w:after="0" w:line="240" w:lineRule="auto"/>
        <w:ind w:left="851"/>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The common PRB indexing is for maximum number of PRBs for a given numerology defined in Table 4.3.2-1 in 38.211</w:t>
      </w:r>
    </w:p>
    <w:p w14:paraId="7DF863DE" w14:textId="77777777" w:rsidR="001600F0" w:rsidRPr="004B1850" w:rsidRDefault="001600F0" w:rsidP="001600F0">
      <w:pPr>
        <w:numPr>
          <w:ilvl w:val="1"/>
          <w:numId w:val="10"/>
        </w:numPr>
        <w:tabs>
          <w:tab w:val="left" w:pos="1080"/>
          <w:tab w:val="left" w:pos="1440"/>
        </w:tabs>
        <w:spacing w:after="0" w:line="240" w:lineRule="auto"/>
        <w:ind w:left="851"/>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FFS: common PRB indexing for RS generation for UE-specific PDSCH</w:t>
      </w:r>
    </w:p>
    <w:p w14:paraId="3D1C2FB6" w14:textId="77777777" w:rsidR="001600F0" w:rsidRPr="004B1850" w:rsidRDefault="001600F0" w:rsidP="001600F0">
      <w:pPr>
        <w:numPr>
          <w:ilvl w:val="1"/>
          <w:numId w:val="10"/>
        </w:numPr>
        <w:tabs>
          <w:tab w:val="left" w:pos="1080"/>
          <w:tab w:val="left" w:pos="1440"/>
        </w:tabs>
        <w:spacing w:after="0" w:line="240" w:lineRule="auto"/>
        <w:ind w:left="851"/>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FFS: common PRB indexing for UL</w:t>
      </w:r>
    </w:p>
    <w:p w14:paraId="7D5F40E4" w14:textId="77777777" w:rsidR="001600F0" w:rsidRPr="004B1850" w:rsidRDefault="001600F0" w:rsidP="001600F0">
      <w:pPr>
        <w:tabs>
          <w:tab w:val="left" w:pos="720"/>
          <w:tab w:val="left" w:pos="1440"/>
        </w:tabs>
        <w:spacing w:after="0" w:line="240" w:lineRule="auto"/>
        <w:ind w:left="851"/>
        <w:contextualSpacing/>
        <w:textAlignment w:val="baseline"/>
        <w:rPr>
          <w:rFonts w:ascii="Times New Roman" w:eastAsia="Times New Roman" w:hAnsi="Times New Roman" w:cs="Times New Roman"/>
          <w:i/>
          <w:sz w:val="20"/>
          <w:szCs w:val="20"/>
          <w:lang w:eastAsia="fi-FI"/>
        </w:rPr>
      </w:pPr>
    </w:p>
    <w:p w14:paraId="4A495A9F" w14:textId="77777777" w:rsidR="001600F0" w:rsidRPr="004B1850" w:rsidRDefault="001600F0" w:rsidP="001600F0">
      <w:pPr>
        <w:numPr>
          <w:ilvl w:val="0"/>
          <w:numId w:val="11"/>
        </w:numPr>
        <w:tabs>
          <w:tab w:val="left" w:pos="720"/>
          <w:tab w:val="left" w:pos="1440"/>
        </w:tabs>
        <w:spacing w:after="0" w:line="240" w:lineRule="auto"/>
        <w:ind w:left="851"/>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When a UE performs measurement or transmit SRS outside of its active BWP, it is considered as a measurement gap</w:t>
      </w:r>
    </w:p>
    <w:p w14:paraId="7B265FE6" w14:textId="77777777" w:rsidR="001600F0" w:rsidRPr="004B1850" w:rsidRDefault="001600F0" w:rsidP="001600F0">
      <w:pPr>
        <w:numPr>
          <w:ilvl w:val="2"/>
          <w:numId w:val="11"/>
        </w:numPr>
        <w:tabs>
          <w:tab w:val="left" w:pos="1440"/>
        </w:tabs>
        <w:spacing w:after="0" w:line="240" w:lineRule="auto"/>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highlight w:val="yellow"/>
          <w:lang w:eastAsia="fi-FI"/>
        </w:rPr>
        <w:t>FFS: details of measurement gap configuration</w:t>
      </w:r>
    </w:p>
    <w:p w14:paraId="0A39E81A" w14:textId="77777777" w:rsidR="001600F0" w:rsidRPr="004B1850" w:rsidRDefault="001600F0" w:rsidP="001600F0">
      <w:pPr>
        <w:numPr>
          <w:ilvl w:val="2"/>
          <w:numId w:val="11"/>
        </w:numPr>
        <w:tabs>
          <w:tab w:val="left" w:pos="1440"/>
        </w:tabs>
        <w:spacing w:after="0" w:line="240" w:lineRule="auto"/>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During the measurement gap, UE is not expected to monitor CORESET</w:t>
      </w:r>
    </w:p>
    <w:p w14:paraId="6A89F680" w14:textId="77777777" w:rsidR="001600F0" w:rsidRPr="00616221" w:rsidRDefault="001600F0" w:rsidP="001600F0">
      <w:pPr>
        <w:pStyle w:val="BodyText"/>
        <w:overflowPunct/>
        <w:autoSpaceDE/>
        <w:autoSpaceDN/>
        <w:adjustRightInd/>
        <w:ind w:left="851"/>
        <w:jc w:val="both"/>
        <w:textAlignment w:val="auto"/>
        <w:rPr>
          <w:b/>
          <w:lang w:val="en-US" w:eastAsia="zh-CN"/>
        </w:rPr>
      </w:pPr>
    </w:p>
    <w:p w14:paraId="49C26A29" w14:textId="77777777" w:rsidR="001600F0" w:rsidRPr="004B1850" w:rsidRDefault="001600F0" w:rsidP="001600F0">
      <w:pPr>
        <w:numPr>
          <w:ilvl w:val="0"/>
          <w:numId w:val="12"/>
        </w:numPr>
        <w:tabs>
          <w:tab w:val="left" w:pos="720"/>
          <w:tab w:val="left" w:pos="1440"/>
        </w:tabs>
        <w:spacing w:after="0" w:line="240" w:lineRule="auto"/>
        <w:ind w:left="709"/>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There is an initial active DL/UL bandwidth part pair to be valid for a UE until the UE is explicitly (re)configured with bandwidth part(s) during or after RRC connection is established</w:t>
      </w:r>
    </w:p>
    <w:p w14:paraId="426F82AF" w14:textId="77777777" w:rsidR="001600F0" w:rsidRPr="004B1850" w:rsidRDefault="001600F0" w:rsidP="001600F0">
      <w:pPr>
        <w:numPr>
          <w:ilvl w:val="2"/>
          <w:numId w:val="12"/>
        </w:numPr>
        <w:tabs>
          <w:tab w:val="left" w:pos="1440"/>
        </w:tabs>
        <w:spacing w:after="0" w:line="240" w:lineRule="auto"/>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lastRenderedPageBreak/>
        <w:t>The initial active DL/UL bandwidth part is confined within the UE minimum bandwidth for the given frequency band</w:t>
      </w:r>
    </w:p>
    <w:p w14:paraId="4AF53A9B" w14:textId="77777777" w:rsidR="001600F0" w:rsidRPr="004B1850" w:rsidRDefault="001600F0" w:rsidP="001600F0">
      <w:pPr>
        <w:numPr>
          <w:ilvl w:val="2"/>
          <w:numId w:val="12"/>
        </w:numPr>
        <w:tabs>
          <w:tab w:val="left" w:pos="1440"/>
        </w:tabs>
        <w:spacing w:after="0" w:line="240" w:lineRule="auto"/>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FFS: details of initial active DL/UL bandwidth part are discussed in initial access agenda</w:t>
      </w:r>
    </w:p>
    <w:p w14:paraId="3CD62DA4" w14:textId="77777777" w:rsidR="001600F0" w:rsidRPr="004B1850" w:rsidRDefault="001600F0" w:rsidP="001600F0">
      <w:pPr>
        <w:numPr>
          <w:ilvl w:val="0"/>
          <w:numId w:val="12"/>
        </w:numPr>
        <w:tabs>
          <w:tab w:val="left" w:pos="720"/>
          <w:tab w:val="left" w:pos="1440"/>
        </w:tabs>
        <w:spacing w:after="0" w:line="240" w:lineRule="auto"/>
        <w:ind w:left="709"/>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Support activation/deactivation of DL and UL bandwidth part by explicit indication at least in (</w:t>
      </w:r>
      <w:r w:rsidRPr="004B1850">
        <w:rPr>
          <w:rFonts w:ascii="Times" w:eastAsia="MS Mincho" w:hAnsi="Times" w:cs="Times New Roman"/>
          <w:i/>
          <w:kern w:val="24"/>
          <w:sz w:val="20"/>
          <w:szCs w:val="20"/>
          <w:highlight w:val="yellow"/>
          <w:lang w:eastAsia="fi-FI"/>
        </w:rPr>
        <w:t>FFS: scheduling</w:t>
      </w:r>
      <w:r w:rsidRPr="004B1850">
        <w:rPr>
          <w:rFonts w:ascii="Times" w:eastAsia="MS Mincho" w:hAnsi="Times" w:cs="Times New Roman"/>
          <w:i/>
          <w:kern w:val="24"/>
          <w:sz w:val="20"/>
          <w:szCs w:val="20"/>
          <w:lang w:eastAsia="fi-FI"/>
        </w:rPr>
        <w:t>) DCI</w:t>
      </w:r>
    </w:p>
    <w:p w14:paraId="7FA1C48A" w14:textId="77777777" w:rsidR="001600F0" w:rsidRPr="004B1850" w:rsidRDefault="001600F0" w:rsidP="001600F0">
      <w:pPr>
        <w:numPr>
          <w:ilvl w:val="2"/>
          <w:numId w:val="12"/>
        </w:numPr>
        <w:tabs>
          <w:tab w:val="left" w:pos="1440"/>
        </w:tabs>
        <w:spacing w:after="0" w:line="240" w:lineRule="auto"/>
        <w:contextualSpacing/>
        <w:textAlignment w:val="baseline"/>
        <w:rPr>
          <w:rFonts w:ascii="Times New Roman" w:eastAsia="Times New Roman" w:hAnsi="Times New Roman" w:cs="Times New Roman"/>
          <w:i/>
          <w:sz w:val="20"/>
          <w:szCs w:val="20"/>
          <w:highlight w:val="yellow"/>
          <w:lang w:eastAsia="fi-FI"/>
        </w:rPr>
      </w:pPr>
      <w:r w:rsidRPr="004B1850">
        <w:rPr>
          <w:rFonts w:ascii="Times" w:eastAsia="MS Mincho" w:hAnsi="Times" w:cs="Times New Roman"/>
          <w:i/>
          <w:kern w:val="24"/>
          <w:sz w:val="20"/>
          <w:szCs w:val="20"/>
          <w:highlight w:val="yellow"/>
          <w:lang w:eastAsia="fi-FI"/>
        </w:rPr>
        <w:t>FFS: In addition, MAC CE based approach is supported</w:t>
      </w:r>
    </w:p>
    <w:p w14:paraId="7BFDEBC6" w14:textId="77777777" w:rsidR="001600F0" w:rsidRPr="004B1850" w:rsidRDefault="001600F0" w:rsidP="001600F0">
      <w:pPr>
        <w:numPr>
          <w:ilvl w:val="0"/>
          <w:numId w:val="12"/>
        </w:numPr>
        <w:tabs>
          <w:tab w:val="left" w:pos="720"/>
          <w:tab w:val="left" w:pos="1440"/>
        </w:tabs>
        <w:spacing w:after="0" w:line="240" w:lineRule="auto"/>
        <w:ind w:left="709"/>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Support activation/deactivation of DL bandwidth part by means of timer for a UE to switch its active DL bandwidth part to a default DL bandwidth part</w:t>
      </w:r>
    </w:p>
    <w:p w14:paraId="574AFEB1" w14:textId="77777777" w:rsidR="001600F0" w:rsidRPr="004B1850" w:rsidRDefault="001600F0" w:rsidP="001600F0">
      <w:pPr>
        <w:numPr>
          <w:ilvl w:val="2"/>
          <w:numId w:val="12"/>
        </w:numPr>
        <w:tabs>
          <w:tab w:val="left" w:pos="1440"/>
        </w:tabs>
        <w:spacing w:after="0" w:line="240" w:lineRule="auto"/>
        <w:contextualSpacing/>
        <w:textAlignment w:val="baseline"/>
        <w:rPr>
          <w:rFonts w:ascii="Times New Roman" w:eastAsia="Times New Roman" w:hAnsi="Times New Roman" w:cs="Times New Roman"/>
          <w:i/>
          <w:sz w:val="20"/>
          <w:szCs w:val="20"/>
          <w:lang w:eastAsia="fi-FI"/>
        </w:rPr>
      </w:pPr>
      <w:r w:rsidRPr="004B1850">
        <w:rPr>
          <w:rFonts w:ascii="Times" w:eastAsia="MS Mincho" w:hAnsi="Times" w:cs="Times New Roman"/>
          <w:i/>
          <w:kern w:val="24"/>
          <w:sz w:val="20"/>
          <w:szCs w:val="20"/>
          <w:lang w:eastAsia="fi-FI"/>
        </w:rPr>
        <w:t xml:space="preserve">The default DL bandwidth part can be the initial active DL bandwidth part defined above </w:t>
      </w:r>
    </w:p>
    <w:p w14:paraId="7319BE90" w14:textId="77777777" w:rsidR="001600F0" w:rsidRPr="004B1850" w:rsidRDefault="001600F0" w:rsidP="001600F0">
      <w:pPr>
        <w:numPr>
          <w:ilvl w:val="2"/>
          <w:numId w:val="12"/>
        </w:numPr>
        <w:tabs>
          <w:tab w:val="left" w:pos="1440"/>
        </w:tabs>
        <w:spacing w:after="0" w:line="240" w:lineRule="auto"/>
        <w:contextualSpacing/>
        <w:textAlignment w:val="baseline"/>
        <w:rPr>
          <w:rFonts w:ascii="Times New Roman" w:eastAsia="Times New Roman" w:hAnsi="Times New Roman" w:cs="Times New Roman"/>
          <w:i/>
          <w:sz w:val="20"/>
          <w:szCs w:val="20"/>
          <w:highlight w:val="yellow"/>
          <w:lang w:eastAsia="fi-FI"/>
        </w:rPr>
      </w:pPr>
      <w:r w:rsidRPr="004B1850">
        <w:rPr>
          <w:rFonts w:ascii="Times" w:eastAsia="MS Mincho" w:hAnsi="Times" w:cs="Times New Roman"/>
          <w:i/>
          <w:kern w:val="24"/>
          <w:sz w:val="20"/>
          <w:szCs w:val="20"/>
          <w:highlight w:val="yellow"/>
          <w:lang w:eastAsia="fi-FI"/>
        </w:rPr>
        <w:t>FFS: The default DL bandwidth part can be reconfigured by the network</w:t>
      </w:r>
    </w:p>
    <w:p w14:paraId="3DB09A97" w14:textId="77777777" w:rsidR="001600F0" w:rsidRPr="004B1850" w:rsidRDefault="001600F0" w:rsidP="001600F0">
      <w:pPr>
        <w:numPr>
          <w:ilvl w:val="2"/>
          <w:numId w:val="12"/>
        </w:numPr>
        <w:tabs>
          <w:tab w:val="left" w:pos="1440"/>
        </w:tabs>
        <w:spacing w:after="0" w:line="240" w:lineRule="auto"/>
        <w:contextualSpacing/>
        <w:textAlignment w:val="baseline"/>
        <w:rPr>
          <w:rFonts w:ascii="Times New Roman" w:eastAsia="Times New Roman" w:hAnsi="Times New Roman" w:cs="Times New Roman"/>
          <w:i/>
          <w:sz w:val="20"/>
          <w:szCs w:val="20"/>
          <w:highlight w:val="yellow"/>
          <w:lang w:eastAsia="fi-FI"/>
        </w:rPr>
      </w:pPr>
      <w:r w:rsidRPr="004B1850">
        <w:rPr>
          <w:rFonts w:ascii="Times" w:eastAsia="MS Mincho" w:hAnsi="Times" w:cs="Times New Roman"/>
          <w:i/>
          <w:kern w:val="24"/>
          <w:sz w:val="20"/>
          <w:szCs w:val="20"/>
          <w:highlight w:val="yellow"/>
          <w:lang w:eastAsia="fi-FI"/>
        </w:rPr>
        <w:t>FFS: detailed mechanism of timer-based solution (e.g. introducing a new timer or reusing DRX timer)</w:t>
      </w:r>
    </w:p>
    <w:p w14:paraId="3B276B7F" w14:textId="77777777" w:rsidR="001600F0" w:rsidRPr="004B1850" w:rsidRDefault="001600F0" w:rsidP="001600F0">
      <w:pPr>
        <w:numPr>
          <w:ilvl w:val="2"/>
          <w:numId w:val="12"/>
        </w:numPr>
        <w:tabs>
          <w:tab w:val="left" w:pos="1440"/>
        </w:tabs>
        <w:spacing w:after="0" w:line="240" w:lineRule="auto"/>
        <w:contextualSpacing/>
        <w:textAlignment w:val="baseline"/>
        <w:rPr>
          <w:rFonts w:ascii="Times New Roman" w:eastAsia="Times New Roman" w:hAnsi="Times New Roman" w:cs="Times New Roman"/>
          <w:i/>
          <w:sz w:val="20"/>
          <w:szCs w:val="20"/>
          <w:highlight w:val="yellow"/>
          <w:lang w:eastAsia="fi-FI"/>
        </w:rPr>
      </w:pPr>
      <w:r w:rsidRPr="004B1850">
        <w:rPr>
          <w:rFonts w:ascii="Times" w:eastAsia="MS Mincho" w:hAnsi="Times" w:cs="Times New Roman"/>
          <w:i/>
          <w:kern w:val="24"/>
          <w:sz w:val="20"/>
          <w:szCs w:val="20"/>
          <w:highlight w:val="yellow"/>
          <w:lang w:eastAsia="fi-FI"/>
        </w:rPr>
        <w:t>FFS: other conditions to switch to default DL bandwidth part</w:t>
      </w:r>
    </w:p>
    <w:p w14:paraId="3321DD6F" w14:textId="77777777" w:rsidR="001600F0" w:rsidRPr="004B1850" w:rsidRDefault="001600F0" w:rsidP="001600F0">
      <w:pPr>
        <w:tabs>
          <w:tab w:val="left" w:pos="1080"/>
          <w:tab w:val="left" w:pos="1440"/>
        </w:tabs>
        <w:spacing w:after="0" w:line="240" w:lineRule="auto"/>
        <w:contextualSpacing/>
        <w:textAlignment w:val="baseline"/>
        <w:rPr>
          <w:rFonts w:ascii="Times New Roman" w:eastAsia="Times New Roman" w:hAnsi="Times New Roman" w:cs="Times New Roman"/>
          <w:i/>
          <w:sz w:val="20"/>
          <w:szCs w:val="20"/>
          <w:lang w:eastAsia="fi-FI"/>
        </w:rPr>
      </w:pPr>
    </w:p>
    <w:p w14:paraId="1A637EF7" w14:textId="52D50ADF" w:rsidR="00313985" w:rsidRPr="00C23119" w:rsidRDefault="00AE0101" w:rsidP="00313985">
      <w:pPr>
        <w:pStyle w:val="Heading1"/>
        <w:rPr>
          <w:lang w:val="en-US"/>
        </w:rPr>
      </w:pPr>
      <w:r>
        <w:rPr>
          <w:lang w:val="en-US"/>
        </w:rPr>
        <w:t>2</w:t>
      </w:r>
      <w:r w:rsidR="00313985" w:rsidRPr="00C23119">
        <w:rPr>
          <w:lang w:val="en-US"/>
        </w:rPr>
        <w:tab/>
      </w:r>
      <w:r w:rsidR="00313985" w:rsidRPr="00313985">
        <w:rPr>
          <w:lang w:val="en-US"/>
        </w:rPr>
        <w:t>On remaining aspects of NR cell-groups</w:t>
      </w:r>
    </w:p>
    <w:p w14:paraId="1E0AE222" w14:textId="65CFF057" w:rsidR="00813516" w:rsidRPr="004B1850" w:rsidRDefault="00AA5409" w:rsidP="00A3364A">
      <w:pPr>
        <w:jc w:val="both"/>
        <w:rPr>
          <w:rFonts w:ascii="Times New Roman"/>
        </w:rPr>
      </w:pPr>
      <w:bookmarkStart w:id="3" w:name="_Ref473903385"/>
      <w:bookmarkStart w:id="4" w:name="OLE_LINK13"/>
      <w:bookmarkStart w:id="5" w:name="OLE_LINK14"/>
      <w:r w:rsidRPr="004B1850">
        <w:rPr>
          <w:rFonts w:ascii="Times New Roman"/>
        </w:rPr>
        <w:t xml:space="preserve">One </w:t>
      </w:r>
      <w:r w:rsidR="006C7B51" w:rsidRPr="004B1850">
        <w:rPr>
          <w:rFonts w:ascii="Times New Roman"/>
        </w:rPr>
        <w:t>remaining</w:t>
      </w:r>
      <w:r w:rsidR="00D734D1" w:rsidRPr="004B1850">
        <w:rPr>
          <w:rFonts w:ascii="Times New Roman"/>
        </w:rPr>
        <w:t xml:space="preserve"> open </w:t>
      </w:r>
      <w:r w:rsidR="00AE0101" w:rsidRPr="004B1850">
        <w:rPr>
          <w:rFonts w:ascii="Times New Roman"/>
        </w:rPr>
        <w:t>issue</w:t>
      </w:r>
      <w:r w:rsidR="00D734D1" w:rsidRPr="004B1850">
        <w:rPr>
          <w:rFonts w:ascii="Times New Roman"/>
        </w:rPr>
        <w:t xml:space="preserve"> is </w:t>
      </w:r>
      <w:r w:rsidR="007C722C" w:rsidRPr="004B1850">
        <w:rPr>
          <w:rFonts w:ascii="Times New Roman"/>
        </w:rPr>
        <w:t xml:space="preserve">the </w:t>
      </w:r>
      <w:r w:rsidR="00D734D1" w:rsidRPr="004B1850">
        <w:rPr>
          <w:rFonts w:ascii="Times New Roman"/>
        </w:rPr>
        <w:t>switching</w:t>
      </w:r>
      <w:r w:rsidR="00871550" w:rsidRPr="004B1850">
        <w:rPr>
          <w:rFonts w:ascii="Times New Roman"/>
        </w:rPr>
        <w:t xml:space="preserve"> of the CC carrying PUCCH (PUCCH CC)</w:t>
      </w:r>
      <w:r w:rsidR="00D734D1" w:rsidRPr="004B1850">
        <w:rPr>
          <w:rFonts w:ascii="Times New Roman"/>
        </w:rPr>
        <w:t xml:space="preserve"> within the cell-group. In LTE</w:t>
      </w:r>
      <w:r w:rsidR="008F0FA5" w:rsidRPr="004B1850">
        <w:rPr>
          <w:rFonts w:ascii="Times New Roman"/>
        </w:rPr>
        <w:t>,</w:t>
      </w:r>
      <w:r w:rsidR="00D734D1" w:rsidRPr="004B1850">
        <w:rPr>
          <w:rFonts w:ascii="Times New Roman"/>
        </w:rPr>
        <w:t xml:space="preserve"> the </w:t>
      </w:r>
      <w:r w:rsidR="00871550" w:rsidRPr="004B1850">
        <w:rPr>
          <w:rFonts w:ascii="Times New Roman"/>
        </w:rPr>
        <w:t xml:space="preserve">PUCCH </w:t>
      </w:r>
      <w:r w:rsidR="00D734D1" w:rsidRPr="004B1850">
        <w:rPr>
          <w:rFonts w:ascii="Times New Roman"/>
        </w:rPr>
        <w:t>is at Pcell</w:t>
      </w:r>
      <w:r w:rsidR="008E3834" w:rsidRPr="004B1850">
        <w:rPr>
          <w:rFonts w:ascii="Times New Roman"/>
        </w:rPr>
        <w:t xml:space="preserve"> in primary PUCCH group</w:t>
      </w:r>
      <w:r w:rsidR="00D734D1" w:rsidRPr="004B1850">
        <w:rPr>
          <w:rFonts w:ascii="Times New Roman"/>
        </w:rPr>
        <w:t xml:space="preserve"> </w:t>
      </w:r>
      <w:r w:rsidR="00DA79AE" w:rsidRPr="004B1850">
        <w:rPr>
          <w:rFonts w:ascii="Times New Roman"/>
        </w:rPr>
        <w:t xml:space="preserve">and </w:t>
      </w:r>
      <w:r w:rsidR="00D734D1" w:rsidRPr="004B1850">
        <w:rPr>
          <w:rFonts w:ascii="Times New Roman"/>
        </w:rPr>
        <w:t>at PScell</w:t>
      </w:r>
      <w:r w:rsidR="008E3834" w:rsidRPr="004B1850">
        <w:rPr>
          <w:rFonts w:ascii="Times New Roman"/>
        </w:rPr>
        <w:t xml:space="preserve"> in secondary PUCCH group</w:t>
      </w:r>
      <w:r w:rsidR="00D734D1" w:rsidRPr="004B1850">
        <w:rPr>
          <w:rFonts w:ascii="Times New Roman"/>
        </w:rPr>
        <w:t xml:space="preserve">. </w:t>
      </w:r>
      <w:r w:rsidR="008A3F2A" w:rsidRPr="004B1850">
        <w:rPr>
          <w:rFonts w:ascii="Times New Roman"/>
        </w:rPr>
        <w:t>T</w:t>
      </w:r>
      <w:r w:rsidR="00D734D1" w:rsidRPr="004B1850">
        <w:rPr>
          <w:rFonts w:ascii="Times New Roman"/>
        </w:rPr>
        <w:t>o make the PUCCH CC change</w:t>
      </w:r>
      <w:r w:rsidR="008A3F2A" w:rsidRPr="004B1850">
        <w:rPr>
          <w:rFonts w:ascii="Times New Roman"/>
        </w:rPr>
        <w:t xml:space="preserve"> in LTE</w:t>
      </w:r>
      <w:r w:rsidR="00A43F03" w:rsidRPr="004B1850">
        <w:rPr>
          <w:rFonts w:ascii="Times New Roman"/>
        </w:rPr>
        <w:t>,</w:t>
      </w:r>
      <w:r w:rsidR="008E3834" w:rsidRPr="004B1850">
        <w:rPr>
          <w:rFonts w:ascii="Times New Roman"/>
        </w:rPr>
        <w:t xml:space="preserve"> </w:t>
      </w:r>
      <w:r w:rsidR="00A43F03" w:rsidRPr="004B1850">
        <w:rPr>
          <w:rFonts w:ascii="Times New Roman"/>
        </w:rPr>
        <w:t>in</w:t>
      </w:r>
      <w:r w:rsidR="00C24CE4" w:rsidRPr="004B1850">
        <w:rPr>
          <w:rFonts w:ascii="Times New Roman"/>
        </w:rPr>
        <w:t xml:space="preserve"> a</w:t>
      </w:r>
      <w:r w:rsidR="00A43F03" w:rsidRPr="004B1850">
        <w:rPr>
          <w:rFonts w:ascii="Times New Roman"/>
        </w:rPr>
        <w:t xml:space="preserve"> </w:t>
      </w:r>
      <w:r w:rsidR="008E3834" w:rsidRPr="004B1850">
        <w:rPr>
          <w:rFonts w:ascii="Times New Roman"/>
        </w:rPr>
        <w:t>primary cell-group</w:t>
      </w:r>
      <w:r w:rsidR="00871550" w:rsidRPr="004B1850">
        <w:rPr>
          <w:rFonts w:ascii="Times New Roman"/>
        </w:rPr>
        <w:t>,</w:t>
      </w:r>
      <w:r w:rsidR="00D734D1" w:rsidRPr="004B1850">
        <w:rPr>
          <w:rFonts w:ascii="Times New Roman"/>
        </w:rPr>
        <w:t xml:space="preserve"> </w:t>
      </w:r>
      <w:r w:rsidR="008A3F2A" w:rsidRPr="004B1850">
        <w:rPr>
          <w:rFonts w:ascii="Times New Roman"/>
        </w:rPr>
        <w:t>Pcell</w:t>
      </w:r>
      <w:r w:rsidR="00871550" w:rsidRPr="004B1850">
        <w:rPr>
          <w:rFonts w:ascii="Times New Roman"/>
        </w:rPr>
        <w:t xml:space="preserve"> needs to be</w:t>
      </w:r>
      <w:r w:rsidR="00D734D1" w:rsidRPr="004B1850">
        <w:rPr>
          <w:rFonts w:ascii="Times New Roman"/>
        </w:rPr>
        <w:t xml:space="preserve"> </w:t>
      </w:r>
      <w:r w:rsidR="008E3834" w:rsidRPr="004B1850">
        <w:rPr>
          <w:rFonts w:ascii="Times New Roman"/>
        </w:rPr>
        <w:t>reconfigur</w:t>
      </w:r>
      <w:r w:rsidR="00871550" w:rsidRPr="004B1850">
        <w:rPr>
          <w:rFonts w:ascii="Times New Roman"/>
        </w:rPr>
        <w:t>ed</w:t>
      </w:r>
      <w:r w:rsidR="008E3834" w:rsidRPr="004B1850">
        <w:rPr>
          <w:rFonts w:ascii="Times New Roman"/>
        </w:rPr>
        <w:t xml:space="preserve">, which requires UE to start from RACH procedure again. Therefore, we think that </w:t>
      </w:r>
      <w:r w:rsidR="00A43F03" w:rsidRPr="004B1850">
        <w:rPr>
          <w:rFonts w:ascii="Times New Roman"/>
        </w:rPr>
        <w:t xml:space="preserve">UL or DL </w:t>
      </w:r>
      <w:r w:rsidR="00F67B3D" w:rsidRPr="004B1850">
        <w:rPr>
          <w:rFonts w:ascii="Times New Roman"/>
        </w:rPr>
        <w:t>P</w:t>
      </w:r>
      <w:r w:rsidR="00A43F03" w:rsidRPr="004B1850">
        <w:rPr>
          <w:rFonts w:ascii="Times New Roman"/>
        </w:rPr>
        <w:t xml:space="preserve">CCs of a NR </w:t>
      </w:r>
      <w:r w:rsidR="00F67B3D" w:rsidRPr="004B1850">
        <w:rPr>
          <w:rFonts w:ascii="Times New Roman"/>
        </w:rPr>
        <w:t>primary cell</w:t>
      </w:r>
      <w:r w:rsidR="008E3834" w:rsidRPr="004B1850">
        <w:rPr>
          <w:rFonts w:ascii="Times New Roman"/>
        </w:rPr>
        <w:t xml:space="preserve"> </w:t>
      </w:r>
      <w:r w:rsidR="00A43F03" w:rsidRPr="004B1850">
        <w:rPr>
          <w:rFonts w:ascii="Times New Roman"/>
        </w:rPr>
        <w:t xml:space="preserve">could be reconfigured to any other CC within </w:t>
      </w:r>
      <w:r w:rsidR="00C24CE4" w:rsidRPr="004B1850">
        <w:rPr>
          <w:rFonts w:ascii="Times New Roman"/>
        </w:rPr>
        <w:t>the</w:t>
      </w:r>
      <w:r w:rsidR="00A43F03" w:rsidRPr="004B1850">
        <w:rPr>
          <w:rFonts w:ascii="Times New Roman"/>
        </w:rPr>
        <w:t xml:space="preserve"> cell-group, without releasing the connection and such perform </w:t>
      </w:r>
      <w:r w:rsidR="00A43F03" w:rsidRPr="004B1850">
        <w:rPr>
          <w:rFonts w:ascii="Times New Roman"/>
        </w:rPr>
        <w:t>“</w:t>
      </w:r>
      <w:r w:rsidR="00A43F03" w:rsidRPr="004B1850">
        <w:rPr>
          <w:rFonts w:ascii="Times New Roman"/>
        </w:rPr>
        <w:t>soft intra</w:t>
      </w:r>
      <w:r w:rsidR="00526256" w:rsidRPr="004B1850">
        <w:rPr>
          <w:rFonts w:ascii="Times New Roman"/>
        </w:rPr>
        <w:t>-</w:t>
      </w:r>
      <w:r w:rsidR="00A43F03" w:rsidRPr="004B1850">
        <w:rPr>
          <w:rFonts w:ascii="Times New Roman"/>
        </w:rPr>
        <w:t>CG handover</w:t>
      </w:r>
      <w:r w:rsidR="00A43F03" w:rsidRPr="004B1850">
        <w:rPr>
          <w:rFonts w:ascii="Times New Roman"/>
        </w:rPr>
        <w:t>”</w:t>
      </w:r>
      <w:r w:rsidR="00A43F03" w:rsidRPr="004B1850">
        <w:rPr>
          <w:rFonts w:ascii="Times New Roman"/>
        </w:rPr>
        <w:t xml:space="preserve">. </w:t>
      </w:r>
      <w:r w:rsidR="008F0FA5" w:rsidRPr="004B1850">
        <w:rPr>
          <w:rFonts w:ascii="Times New Roman"/>
        </w:rPr>
        <w:t>Therefore, if network wants to change PUCCH CC to a better UL CC, to avoid hard hand-over, it can reconfigure the UL PCC to any UL CC of the cell group.</w:t>
      </w:r>
    </w:p>
    <w:p w14:paraId="00C6C5C1" w14:textId="5C1BA17B" w:rsidR="00A43F03" w:rsidRPr="004B1850" w:rsidRDefault="00A43F03" w:rsidP="00F925FC">
      <w:pPr>
        <w:spacing w:after="0"/>
        <w:jc w:val="both"/>
        <w:rPr>
          <w:rFonts w:ascii="Times New Roman"/>
          <w:b/>
        </w:rPr>
      </w:pPr>
      <w:r w:rsidRPr="004B1850">
        <w:rPr>
          <w:rFonts w:ascii="Times New Roman"/>
          <w:b/>
        </w:rPr>
        <w:t>Proposal-</w:t>
      </w:r>
      <w:r w:rsidR="00AA5409" w:rsidRPr="004B1850">
        <w:rPr>
          <w:rFonts w:ascii="Times New Roman"/>
          <w:b/>
        </w:rPr>
        <w:t>1</w:t>
      </w:r>
      <w:r w:rsidRPr="004B1850">
        <w:rPr>
          <w:rFonts w:ascii="Times New Roman"/>
          <w:b/>
        </w:rPr>
        <w:t>: In NR, a primary cell:</w:t>
      </w:r>
    </w:p>
    <w:p w14:paraId="7C4960E4" w14:textId="53E1E824" w:rsidR="00D35A4B" w:rsidRPr="004B1850" w:rsidRDefault="00D35A4B" w:rsidP="00C505D8">
      <w:pPr>
        <w:pStyle w:val="ListParagraph"/>
        <w:numPr>
          <w:ilvl w:val="0"/>
          <w:numId w:val="5"/>
        </w:numPr>
        <w:jc w:val="both"/>
        <w:rPr>
          <w:rFonts w:ascii="Times New Roman"/>
          <w:b/>
        </w:rPr>
      </w:pPr>
      <w:r w:rsidRPr="004B1850">
        <w:rPr>
          <w:rFonts w:ascii="Times New Roman"/>
          <w:b/>
        </w:rPr>
        <w:t xml:space="preserve">consists of UL </w:t>
      </w:r>
      <w:r w:rsidR="00C24CE4" w:rsidRPr="004B1850">
        <w:rPr>
          <w:rFonts w:ascii="Times New Roman"/>
          <w:b/>
        </w:rPr>
        <w:t>P</w:t>
      </w:r>
      <w:r w:rsidRPr="004B1850">
        <w:rPr>
          <w:rFonts w:ascii="Times New Roman"/>
          <w:b/>
        </w:rPr>
        <w:t xml:space="preserve">CC and DL </w:t>
      </w:r>
      <w:r w:rsidR="00C24CE4" w:rsidRPr="004B1850">
        <w:rPr>
          <w:rFonts w:ascii="Times New Roman"/>
          <w:b/>
        </w:rPr>
        <w:t>P</w:t>
      </w:r>
      <w:r w:rsidRPr="004B1850">
        <w:rPr>
          <w:rFonts w:ascii="Times New Roman"/>
          <w:b/>
        </w:rPr>
        <w:t>CC that carry the RRC connection, UCI</w:t>
      </w:r>
      <w:r w:rsidR="00B80528" w:rsidRPr="004B1850">
        <w:rPr>
          <w:rFonts w:ascii="Times New Roman"/>
          <w:b/>
        </w:rPr>
        <w:t xml:space="preserve">, </w:t>
      </w:r>
      <w:r w:rsidR="00035B64" w:rsidRPr="004B1850">
        <w:rPr>
          <w:rFonts w:ascii="Times New Roman"/>
          <w:b/>
        </w:rPr>
        <w:t>PUCCH</w:t>
      </w:r>
      <w:r w:rsidRPr="004B1850">
        <w:rPr>
          <w:rFonts w:ascii="Times New Roman"/>
          <w:b/>
        </w:rPr>
        <w:t xml:space="preserve"> and common search space.</w:t>
      </w:r>
    </w:p>
    <w:p w14:paraId="41CA7E0E" w14:textId="33F46999" w:rsidR="00D35A4B" w:rsidRPr="004B1850" w:rsidRDefault="00D35A4B" w:rsidP="00C505D8">
      <w:pPr>
        <w:pStyle w:val="ListParagraph"/>
        <w:numPr>
          <w:ilvl w:val="0"/>
          <w:numId w:val="5"/>
        </w:numPr>
        <w:jc w:val="both"/>
        <w:rPr>
          <w:rFonts w:ascii="Times New Roman"/>
          <w:b/>
        </w:rPr>
      </w:pPr>
      <w:r w:rsidRPr="004B1850">
        <w:rPr>
          <w:rFonts w:ascii="Times New Roman"/>
          <w:b/>
        </w:rPr>
        <w:t xml:space="preserve">UL and/or DL PCC can be semi-statically changed between CCs of a cell-group. </w:t>
      </w:r>
    </w:p>
    <w:p w14:paraId="308F9829" w14:textId="26A96D46" w:rsidR="00DD4447" w:rsidRPr="00AA5409" w:rsidRDefault="00F67B3D" w:rsidP="00DD4447">
      <w:pPr>
        <w:rPr>
          <w:lang w:val="en-GB"/>
        </w:rPr>
      </w:pPr>
      <w:r w:rsidRPr="004B1850">
        <w:rPr>
          <w:rFonts w:ascii="Times New Roman"/>
        </w:rPr>
        <w:t xml:space="preserve">In addition to PCC, secondary CCs (SCC) can be configured freely and can be UL-only, DL-only or UL&amp;DL. Therefore, a cell group can comprise of more UL SCCs than DL SCCs. </w:t>
      </w:r>
    </w:p>
    <w:p w14:paraId="64125404" w14:textId="5315D329" w:rsidR="00A3364A" w:rsidRPr="004B1850" w:rsidRDefault="00F67B3D" w:rsidP="00F67B3D">
      <w:pPr>
        <w:jc w:val="both"/>
        <w:rPr>
          <w:rFonts w:ascii="Times New Roman"/>
          <w:b/>
        </w:rPr>
      </w:pPr>
      <w:r w:rsidRPr="004B1850">
        <w:rPr>
          <w:rFonts w:ascii="Times New Roman"/>
          <w:b/>
        </w:rPr>
        <w:t>Proposal-</w:t>
      </w:r>
      <w:r w:rsidR="002115A4" w:rsidRPr="004B1850">
        <w:rPr>
          <w:rFonts w:ascii="Times New Roman"/>
          <w:b/>
        </w:rPr>
        <w:t>2</w:t>
      </w:r>
      <w:r w:rsidR="003760F6">
        <w:rPr>
          <w:rFonts w:ascii="Times New Roman"/>
          <w:b/>
        </w:rPr>
        <w:t>:</w:t>
      </w:r>
      <w:r w:rsidRPr="004B1850">
        <w:rPr>
          <w:rFonts w:ascii="Times New Roman"/>
          <w:b/>
        </w:rPr>
        <w:t xml:space="preserve"> SCC can be UL-only CC, DL-only CC or UL&amp;DL CC.</w:t>
      </w:r>
      <w:r w:rsidR="00DD4447" w:rsidRPr="004B1850">
        <w:rPr>
          <w:rFonts w:ascii="Times New Roman"/>
          <w:b/>
        </w:rPr>
        <w:t xml:space="preserve"> </w:t>
      </w:r>
    </w:p>
    <w:p w14:paraId="7B546B7C" w14:textId="010B87C6" w:rsidR="00DD4447" w:rsidRPr="00AA5409" w:rsidRDefault="00DD4447" w:rsidP="00DD4447">
      <w:pPr>
        <w:rPr>
          <w:lang w:val="en-GB"/>
        </w:rPr>
      </w:pPr>
      <w:r>
        <w:rPr>
          <w:lang w:val="en-GB"/>
        </w:rPr>
        <w:t>In R15, in each CC/cell a single UL and/or DL BWP is active at a given time. In other words, the active UL and/or DL BWPs identify a cell and vice versa.</w:t>
      </w:r>
    </w:p>
    <w:p w14:paraId="50A6CA1B" w14:textId="0752A2E4" w:rsidR="00DD4447" w:rsidRPr="00DD4447" w:rsidRDefault="00DD4447" w:rsidP="00DD4447">
      <w:pPr>
        <w:rPr>
          <w:b/>
          <w:lang w:val="en-GB"/>
        </w:rPr>
      </w:pPr>
      <w:r w:rsidRPr="004B1850">
        <w:rPr>
          <w:rFonts w:ascii="Times New Roman"/>
          <w:b/>
        </w:rPr>
        <w:t>Proposal-3</w:t>
      </w:r>
      <w:r w:rsidR="003760F6">
        <w:rPr>
          <w:rFonts w:ascii="Times New Roman"/>
          <w:b/>
        </w:rPr>
        <w:t>:</w:t>
      </w:r>
      <w:r w:rsidRPr="004B1850">
        <w:rPr>
          <w:rFonts w:ascii="Times New Roman"/>
          <w:b/>
        </w:rPr>
        <w:t xml:space="preserve"> </w:t>
      </w:r>
      <w:r w:rsidRPr="00DD4447">
        <w:rPr>
          <w:b/>
          <w:lang w:val="en-GB"/>
        </w:rPr>
        <w:t xml:space="preserve">In R15, in each cell a single UL and/or DL BWP is active at a given time. </w:t>
      </w:r>
    </w:p>
    <w:p w14:paraId="20C08DF6" w14:textId="77777777" w:rsidR="00DD4447" w:rsidRPr="004B1850" w:rsidRDefault="00DD4447" w:rsidP="00F67B3D">
      <w:pPr>
        <w:jc w:val="both"/>
        <w:rPr>
          <w:rFonts w:ascii="Times New Roman"/>
        </w:rPr>
      </w:pPr>
    </w:p>
    <w:bookmarkEnd w:id="3"/>
    <w:p w14:paraId="65E46D4D" w14:textId="1D379742" w:rsidR="00EB0645" w:rsidRPr="004E45EA" w:rsidRDefault="00510ABC" w:rsidP="00AA5409">
      <w:pPr>
        <w:pStyle w:val="Heading1"/>
        <w:pBdr>
          <w:top w:val="single" w:sz="12" w:space="16" w:color="auto"/>
        </w:pBdr>
      </w:pPr>
      <w:r>
        <w:t>3</w:t>
      </w:r>
      <w:r w:rsidR="00F166FD">
        <w:t xml:space="preserve"> </w:t>
      </w:r>
      <w:r w:rsidR="00FC6262">
        <w:t>Cross-</w:t>
      </w:r>
      <w:r w:rsidR="0070665F">
        <w:t>numerology</w:t>
      </w:r>
      <w:r w:rsidR="00FC6262">
        <w:t xml:space="preserve"> sch</w:t>
      </w:r>
      <w:r w:rsidR="00F67B3D">
        <w:t>eduling</w:t>
      </w:r>
      <w:r w:rsidR="00FC6262">
        <w:t xml:space="preserve"> design</w:t>
      </w:r>
    </w:p>
    <w:p w14:paraId="29C0F8D8" w14:textId="71B61EFA" w:rsidR="00C12401" w:rsidRPr="004B1850" w:rsidRDefault="002C29F5" w:rsidP="00C12401">
      <w:pPr>
        <w:jc w:val="both"/>
        <w:rPr>
          <w:rFonts w:ascii="Times New Roman"/>
          <w:lang w:eastAsia="zh-CN"/>
        </w:rPr>
      </w:pPr>
      <w:r w:rsidRPr="004B1850">
        <w:rPr>
          <w:rFonts w:ascii="Times New Roman"/>
          <w:lang w:eastAsia="zh-CN"/>
        </w:rPr>
        <w:t xml:space="preserve">In email discussion [NRAH2-10], </w:t>
      </w:r>
      <w:r w:rsidR="00B80528" w:rsidRPr="004B1850">
        <w:rPr>
          <w:rFonts w:ascii="Times New Roman"/>
          <w:lang w:eastAsia="zh-CN"/>
        </w:rPr>
        <w:t>below</w:t>
      </w:r>
      <w:r w:rsidRPr="004B1850">
        <w:rPr>
          <w:rFonts w:ascii="Times New Roman"/>
          <w:lang w:eastAsia="zh-CN"/>
        </w:rPr>
        <w:t xml:space="preserve"> agreements relevant to cross-</w:t>
      </w:r>
      <w:r w:rsidR="0070665F" w:rsidRPr="004B1850">
        <w:rPr>
          <w:rFonts w:ascii="Times New Roman"/>
          <w:lang w:eastAsia="zh-CN"/>
        </w:rPr>
        <w:t>numerology</w:t>
      </w:r>
      <w:r w:rsidRPr="004B1850">
        <w:rPr>
          <w:rFonts w:ascii="Times New Roman"/>
          <w:lang w:eastAsia="zh-CN"/>
        </w:rPr>
        <w:t xml:space="preserve"> scheduling were made</w:t>
      </w:r>
      <w:r w:rsidR="00B80528" w:rsidRPr="004B1850">
        <w:rPr>
          <w:rFonts w:ascii="Times New Roman"/>
          <w:lang w:eastAsia="zh-CN"/>
        </w:rPr>
        <w:t>:</w:t>
      </w:r>
    </w:p>
    <w:p w14:paraId="5680CC57" w14:textId="77777777" w:rsidR="002C29F5" w:rsidRPr="004B1850" w:rsidRDefault="002C29F5" w:rsidP="00C505D8">
      <w:pPr>
        <w:pStyle w:val="NormalWeb"/>
        <w:numPr>
          <w:ilvl w:val="0"/>
          <w:numId w:val="6"/>
        </w:numPr>
        <w:spacing w:before="0" w:beforeAutospacing="0" w:after="0" w:afterAutospacing="0"/>
        <w:textAlignment w:val="baseline"/>
        <w:rPr>
          <w:i/>
        </w:rPr>
      </w:pPr>
      <w:r w:rsidRPr="004B1850">
        <w:rPr>
          <w:rFonts w:eastAsia="ヒラギノ角ゴ Pro W3"/>
          <w:i/>
          <w:color w:val="124191"/>
          <w:kern w:val="24"/>
          <w:sz w:val="16"/>
          <w:szCs w:val="16"/>
        </w:rPr>
        <w:t xml:space="preserve">Support cross carrier scheduling with CIF </w:t>
      </w:r>
    </w:p>
    <w:p w14:paraId="262C17DF" w14:textId="77777777" w:rsidR="002C29F5" w:rsidRPr="004B1850" w:rsidRDefault="002C29F5" w:rsidP="00C505D8">
      <w:pPr>
        <w:pStyle w:val="NormalWeb"/>
        <w:numPr>
          <w:ilvl w:val="1"/>
          <w:numId w:val="6"/>
        </w:numPr>
        <w:spacing w:before="0" w:beforeAutospacing="0" w:after="0" w:afterAutospacing="0"/>
        <w:textAlignment w:val="baseline"/>
        <w:rPr>
          <w:i/>
        </w:rPr>
      </w:pPr>
      <w:r w:rsidRPr="004B1850">
        <w:rPr>
          <w:rFonts w:eastAsia="ヒラギノ角ゴ Pro W3"/>
          <w:i/>
          <w:color w:val="124191"/>
          <w:kern w:val="24"/>
          <w:sz w:val="16"/>
          <w:szCs w:val="16"/>
        </w:rPr>
        <w:t>NR at least support that a carrier is scheduled by one and only one carrier</w:t>
      </w:r>
    </w:p>
    <w:p w14:paraId="049C9FEE" w14:textId="77777777" w:rsidR="002C29F5" w:rsidRPr="004B1850" w:rsidRDefault="002C29F5" w:rsidP="00C505D8">
      <w:pPr>
        <w:pStyle w:val="NormalWeb"/>
        <w:numPr>
          <w:ilvl w:val="1"/>
          <w:numId w:val="6"/>
        </w:numPr>
        <w:spacing w:before="0" w:beforeAutospacing="0" w:after="0" w:afterAutospacing="0"/>
        <w:textAlignment w:val="baseline"/>
        <w:rPr>
          <w:i/>
        </w:rPr>
      </w:pPr>
      <w:r w:rsidRPr="004B1850">
        <w:rPr>
          <w:rFonts w:eastAsia="ヒラギノ角ゴ Pro W3"/>
          <w:i/>
          <w:color w:val="124191"/>
          <w:kern w:val="24"/>
          <w:sz w:val="16"/>
          <w:szCs w:val="16"/>
        </w:rPr>
        <w:t>FFS: the number of CIF bits</w:t>
      </w:r>
    </w:p>
    <w:p w14:paraId="6113FA93" w14:textId="0C97E212" w:rsidR="002C29F5" w:rsidRPr="004B1850" w:rsidRDefault="002C29F5" w:rsidP="00C505D8">
      <w:pPr>
        <w:pStyle w:val="NormalWeb"/>
        <w:numPr>
          <w:ilvl w:val="1"/>
          <w:numId w:val="6"/>
        </w:numPr>
        <w:spacing w:before="0" w:beforeAutospacing="0" w:after="0" w:afterAutospacing="0"/>
        <w:textAlignment w:val="baseline"/>
        <w:rPr>
          <w:i/>
        </w:rPr>
      </w:pPr>
      <w:r w:rsidRPr="004B1850">
        <w:rPr>
          <w:rFonts w:eastAsia="ヒラギノ角ゴ Pro W3"/>
          <w:i/>
          <w:color w:val="124191"/>
          <w:kern w:val="24"/>
          <w:sz w:val="16"/>
          <w:szCs w:val="16"/>
        </w:rPr>
        <w:t>FFS: BWP aspects for cross carrier scheduling</w:t>
      </w:r>
    </w:p>
    <w:p w14:paraId="492056BE" w14:textId="620E7E66" w:rsidR="002C29F5" w:rsidRPr="004B1850" w:rsidRDefault="002C29F5" w:rsidP="00C505D8">
      <w:pPr>
        <w:pStyle w:val="NormalWeb"/>
        <w:numPr>
          <w:ilvl w:val="0"/>
          <w:numId w:val="6"/>
        </w:numPr>
        <w:spacing w:before="0" w:beforeAutospacing="0" w:after="0" w:afterAutospacing="0"/>
        <w:textAlignment w:val="baseline"/>
        <w:rPr>
          <w:i/>
        </w:rPr>
      </w:pPr>
      <w:r w:rsidRPr="004B1850">
        <w:rPr>
          <w:rFonts w:eastAsia="ヒラギノ角ゴ Pro W3"/>
          <w:i/>
          <w:color w:val="124191"/>
          <w:kern w:val="24"/>
          <w:sz w:val="16"/>
          <w:szCs w:val="16"/>
        </w:rPr>
        <w:t>For cross-carrier scheduling, PDCCH and the scheduled PDSCH can have the same or different numerologies.</w:t>
      </w:r>
    </w:p>
    <w:p w14:paraId="78ACA551" w14:textId="77777777" w:rsidR="002C29F5" w:rsidRPr="004B1850" w:rsidRDefault="002C29F5" w:rsidP="00C505D8">
      <w:pPr>
        <w:pStyle w:val="NormalWeb"/>
        <w:numPr>
          <w:ilvl w:val="0"/>
          <w:numId w:val="6"/>
        </w:numPr>
        <w:spacing w:before="0" w:beforeAutospacing="0" w:after="0" w:afterAutospacing="0"/>
        <w:textAlignment w:val="baseline"/>
        <w:rPr>
          <w:i/>
        </w:rPr>
      </w:pPr>
      <w:r w:rsidRPr="004B1850">
        <w:rPr>
          <w:rFonts w:eastAsia="ヒラギノ角ゴ Pro W3"/>
          <w:i/>
          <w:color w:val="124191"/>
          <w:kern w:val="24"/>
          <w:sz w:val="16"/>
          <w:szCs w:val="16"/>
        </w:rPr>
        <w:t>For self and cross-carrier scheduling, PDCCH and the scheduled PUSCH can have the same or different numerologies.</w:t>
      </w:r>
    </w:p>
    <w:p w14:paraId="124EFCA7" w14:textId="77777777" w:rsidR="002C29F5" w:rsidRPr="004B1850" w:rsidRDefault="002C29F5" w:rsidP="00C505D8">
      <w:pPr>
        <w:pStyle w:val="NormalWeb"/>
        <w:numPr>
          <w:ilvl w:val="0"/>
          <w:numId w:val="6"/>
        </w:numPr>
        <w:spacing w:before="0" w:beforeAutospacing="0" w:after="0" w:afterAutospacing="0"/>
        <w:textAlignment w:val="baseline"/>
        <w:rPr>
          <w:i/>
        </w:rPr>
      </w:pPr>
      <w:r w:rsidRPr="004B1850">
        <w:rPr>
          <w:rFonts w:eastAsia="ヒラギノ角ゴ Pro W3"/>
          <w:i/>
          <w:color w:val="124191"/>
          <w:kern w:val="24"/>
          <w:sz w:val="16"/>
          <w:szCs w:val="16"/>
        </w:rPr>
        <w:t>When numerology are different between PDCCH and the scheduled transmission, the time granularity indicated in the DCI for the timing relationship between the end of PDCCH and the corresponding scheduled transmission is based on the numerology of the scheduled transmission.</w:t>
      </w:r>
    </w:p>
    <w:p w14:paraId="75D8B63E" w14:textId="77777777" w:rsidR="00C12401" w:rsidRPr="004B1850" w:rsidRDefault="00C12401" w:rsidP="00C12401">
      <w:pPr>
        <w:jc w:val="both"/>
        <w:rPr>
          <w:rFonts w:ascii="Times New Roman"/>
          <w:lang w:eastAsia="zh-CN"/>
        </w:rPr>
      </w:pPr>
    </w:p>
    <w:p w14:paraId="179EACE2" w14:textId="16BE9964" w:rsidR="00C12401" w:rsidRPr="004B1850" w:rsidRDefault="00C12401" w:rsidP="00C12401">
      <w:pPr>
        <w:jc w:val="both"/>
        <w:rPr>
          <w:rFonts w:ascii="Times New Roman"/>
          <w:bCs/>
          <w:lang w:eastAsia="zh-CN"/>
        </w:rPr>
      </w:pPr>
      <w:r w:rsidRPr="004B1850">
        <w:rPr>
          <w:rFonts w:ascii="Times New Roman"/>
          <w:lang w:eastAsia="zh-CN"/>
        </w:rPr>
        <w:lastRenderedPageBreak/>
        <w:t>The main motivation to support</w:t>
      </w:r>
      <w:r w:rsidRPr="004B1850">
        <w:rPr>
          <w:rFonts w:ascii="Times New Roman"/>
          <w:bCs/>
          <w:lang w:eastAsia="zh-CN"/>
        </w:rPr>
        <w:t xml:space="preserve"> cross-carrier scheduling for aggregated carriers with the </w:t>
      </w:r>
      <w:r w:rsidRPr="004B1850">
        <w:rPr>
          <w:rFonts w:ascii="Times New Roman"/>
          <w:bCs/>
          <w:color w:val="FF0000"/>
          <w:lang w:eastAsia="zh-CN"/>
        </w:rPr>
        <w:t xml:space="preserve">different </w:t>
      </w:r>
      <w:r w:rsidRPr="004B1850">
        <w:rPr>
          <w:rFonts w:ascii="Times New Roman"/>
          <w:bCs/>
          <w:lang w:eastAsia="zh-CN"/>
        </w:rPr>
        <w:t>numerology was the use-case of the low-band CC1 (typically with small SCS) scheduling the PDSCH on high-band CC2 (with typically large SCS). Based on RAN4 agreements, the bands &gt;24GHz will be operating with 60, 120 or 240(FFS) kHz SCS, while bands &lt;6GHz will be operated with 15, 30 and 60kHz SCS. Therefore,</w:t>
      </w:r>
      <w:r w:rsidR="00BC581F" w:rsidRPr="004B1850">
        <w:rPr>
          <w:rFonts w:ascii="Times New Roman"/>
          <w:bCs/>
          <w:lang w:eastAsia="zh-CN"/>
        </w:rPr>
        <w:t xml:space="preserve"> to enable full cross-carrier scheduling support,</w:t>
      </w:r>
      <w:r w:rsidRPr="004B1850">
        <w:rPr>
          <w:rFonts w:ascii="Times New Roman"/>
          <w:bCs/>
          <w:lang w:eastAsia="zh-CN"/>
        </w:rPr>
        <w:t xml:space="preserve"> RAN1 specification </w:t>
      </w:r>
      <w:r w:rsidR="00BC581F" w:rsidRPr="004B1850">
        <w:rPr>
          <w:rFonts w:ascii="Times New Roman"/>
          <w:bCs/>
          <w:lang w:eastAsia="zh-CN"/>
        </w:rPr>
        <w:t>should</w:t>
      </w:r>
      <w:r w:rsidRPr="004B1850">
        <w:rPr>
          <w:rFonts w:ascii="Times New Roman"/>
          <w:bCs/>
          <w:lang w:eastAsia="zh-CN"/>
        </w:rPr>
        <w:t xml:space="preserve"> support both: one-to-many slot-based cross-</w:t>
      </w:r>
      <w:r w:rsidR="0070665F" w:rsidRPr="004B1850">
        <w:rPr>
          <w:rFonts w:ascii="Times New Roman"/>
          <w:bCs/>
          <w:lang w:eastAsia="zh-CN"/>
        </w:rPr>
        <w:t>numerology</w:t>
      </w:r>
      <w:r w:rsidRPr="004B1850">
        <w:rPr>
          <w:rFonts w:ascii="Times New Roman"/>
          <w:bCs/>
          <w:lang w:eastAsia="zh-CN"/>
        </w:rPr>
        <w:t xml:space="preserve"> scheduling and many-to-one slot-based cross-</w:t>
      </w:r>
      <w:r w:rsidR="0070665F" w:rsidRPr="004B1850">
        <w:rPr>
          <w:rFonts w:ascii="Times New Roman"/>
          <w:bCs/>
          <w:lang w:eastAsia="zh-CN"/>
        </w:rPr>
        <w:t>numerology</w:t>
      </w:r>
      <w:r w:rsidRPr="004B1850">
        <w:rPr>
          <w:rFonts w:ascii="Times New Roman"/>
          <w:bCs/>
          <w:lang w:eastAsia="zh-CN"/>
        </w:rPr>
        <w:t xml:space="preserve"> scheduling. </w:t>
      </w:r>
    </w:p>
    <w:p w14:paraId="3D5B1825" w14:textId="224116C0" w:rsidR="00C12401" w:rsidRPr="004B1850" w:rsidRDefault="00BC581F" w:rsidP="00C12401">
      <w:pPr>
        <w:jc w:val="both"/>
        <w:rPr>
          <w:rFonts w:ascii="Times New Roman"/>
          <w:b/>
          <w:bCs/>
          <w:lang w:eastAsia="zh-CN"/>
        </w:rPr>
      </w:pPr>
      <w:r w:rsidRPr="004B1850">
        <w:rPr>
          <w:rFonts w:ascii="Times New Roman"/>
          <w:b/>
          <w:bCs/>
          <w:lang w:eastAsia="zh-CN"/>
        </w:rPr>
        <w:t>Observation</w:t>
      </w:r>
      <w:r w:rsidR="00F925FC" w:rsidRPr="004B1850">
        <w:rPr>
          <w:rFonts w:ascii="Times New Roman"/>
          <w:b/>
          <w:bCs/>
          <w:lang w:eastAsia="zh-CN"/>
        </w:rPr>
        <w:t>-</w:t>
      </w:r>
      <w:r w:rsidR="00510ABC" w:rsidRPr="004B1850">
        <w:rPr>
          <w:rFonts w:ascii="Times New Roman"/>
          <w:b/>
          <w:bCs/>
          <w:lang w:eastAsia="zh-CN"/>
        </w:rPr>
        <w:t>1</w:t>
      </w:r>
      <w:r w:rsidR="00C12401" w:rsidRPr="004B1850">
        <w:rPr>
          <w:rFonts w:ascii="Times New Roman"/>
          <w:b/>
          <w:bCs/>
          <w:lang w:eastAsia="zh-CN"/>
        </w:rPr>
        <w:t xml:space="preserve">: </w:t>
      </w:r>
      <w:r w:rsidRPr="004B1850">
        <w:rPr>
          <w:rFonts w:ascii="Times New Roman"/>
          <w:b/>
          <w:bCs/>
          <w:lang w:eastAsia="zh-CN"/>
        </w:rPr>
        <w:t xml:space="preserve">To enable full support of cross-numerology-carrier scheduling, </w:t>
      </w:r>
      <w:r w:rsidR="00C12401" w:rsidRPr="004B1850">
        <w:rPr>
          <w:rFonts w:ascii="Times New Roman"/>
          <w:b/>
          <w:bCs/>
          <w:lang w:eastAsia="zh-CN"/>
        </w:rPr>
        <w:t xml:space="preserve">RAN1 specification </w:t>
      </w:r>
      <w:r w:rsidRPr="004B1850">
        <w:rPr>
          <w:rFonts w:ascii="Times New Roman"/>
          <w:b/>
          <w:bCs/>
          <w:lang w:eastAsia="zh-CN"/>
        </w:rPr>
        <w:t xml:space="preserve">should </w:t>
      </w:r>
      <w:r w:rsidR="00C12401" w:rsidRPr="004B1850">
        <w:rPr>
          <w:rFonts w:ascii="Times New Roman"/>
          <w:b/>
          <w:bCs/>
          <w:lang w:eastAsia="zh-CN"/>
        </w:rPr>
        <w:t>support both: one-to-many slot-based cross-</w:t>
      </w:r>
      <w:r w:rsidR="0070665F" w:rsidRPr="004B1850">
        <w:rPr>
          <w:rFonts w:ascii="Times New Roman"/>
          <w:b/>
          <w:bCs/>
          <w:lang w:eastAsia="zh-CN"/>
        </w:rPr>
        <w:t>numerology</w:t>
      </w:r>
      <w:r w:rsidR="00C12401" w:rsidRPr="004B1850">
        <w:rPr>
          <w:rFonts w:ascii="Times New Roman"/>
          <w:b/>
          <w:bCs/>
          <w:lang w:eastAsia="zh-CN"/>
        </w:rPr>
        <w:t xml:space="preserve"> scheduling and many-to-one slot-based cross-</w:t>
      </w:r>
      <w:r w:rsidR="0070665F" w:rsidRPr="004B1850">
        <w:rPr>
          <w:rFonts w:ascii="Times New Roman"/>
          <w:b/>
          <w:bCs/>
          <w:lang w:eastAsia="zh-CN"/>
        </w:rPr>
        <w:t>numerology</w:t>
      </w:r>
      <w:r w:rsidR="00C12401" w:rsidRPr="004B1850">
        <w:rPr>
          <w:rFonts w:ascii="Times New Roman"/>
          <w:b/>
          <w:bCs/>
          <w:lang w:eastAsia="zh-CN"/>
        </w:rPr>
        <w:t xml:space="preserve"> scheduling.</w:t>
      </w:r>
    </w:p>
    <w:p w14:paraId="6ABA0633" w14:textId="554704EE" w:rsidR="00C12401" w:rsidRPr="004B1850" w:rsidRDefault="00C12401" w:rsidP="00C12401">
      <w:pPr>
        <w:jc w:val="both"/>
        <w:rPr>
          <w:rFonts w:ascii="Times New Roman"/>
          <w:bCs/>
          <w:lang w:eastAsia="zh-CN"/>
        </w:rPr>
      </w:pPr>
      <w:r w:rsidRPr="004B1850">
        <w:rPr>
          <w:rFonts w:ascii="Times New Roman"/>
          <w:bCs/>
          <w:lang w:eastAsia="zh-CN"/>
        </w:rPr>
        <w:t>For the case of one-to-many scheduling, one scheduling instance in a slot of a small-SCS carrier corresponds to multiple slots in large-SCS carrier, e.g. 1-ms slot at 15kHz SCS corresponds to eight slots of 0.125ms at 120kHz SCS. Therefore, a natural scheduling choice in this case is the multi-slot scheduling, which avoids necessity to transmit 8 separate DCIs in single PDCCH of 15kHz SCS carrier to achieve continuous transmission on 120kHz SCS carrier. Another question is whether separate TBS would be mapped to each slot or single TBS would be mapped across all the slots. Our preference is towards one TBS per slot to be able to gain the latency advantages of shorter slot lengths</w:t>
      </w:r>
      <w:r w:rsidR="009E5848" w:rsidRPr="004B1850">
        <w:rPr>
          <w:rFonts w:ascii="Times New Roman"/>
          <w:bCs/>
          <w:lang w:eastAsia="zh-CN"/>
        </w:rPr>
        <w:t xml:space="preserve"> and make the PDSCH/PUSCH operation on a larger-SCS carrier independent of the cross-carrier cross-numerology scheduling option</w:t>
      </w:r>
      <w:r w:rsidRPr="004B1850">
        <w:rPr>
          <w:rFonts w:ascii="Times New Roman"/>
          <w:bCs/>
          <w:lang w:eastAsia="zh-CN"/>
        </w:rPr>
        <w:t>. For the case of many-to-one scheduling when scheduling from CC1 with a shorter slot length a transmission on CC2 having a longer slot length, more scheduling instances in CC1 could schedule the same slot on CC2. In this case, the DCI can be the same as for same slot-length, and scheduling could be restricted to only the first slot of the CC1 to preserve the UE pipeline processing</w:t>
      </w:r>
      <w:r w:rsidR="00C16198" w:rsidRPr="004B1850">
        <w:rPr>
          <w:rFonts w:ascii="Times New Roman"/>
          <w:bCs/>
          <w:lang w:eastAsia="zh-CN"/>
        </w:rPr>
        <w:t xml:space="preserve"> and reduce UEs monitoring</w:t>
      </w:r>
      <w:r w:rsidRPr="004B1850">
        <w:rPr>
          <w:rFonts w:ascii="Times New Roman"/>
          <w:bCs/>
          <w:lang w:eastAsia="zh-CN"/>
        </w:rPr>
        <w:t xml:space="preserve">.  </w:t>
      </w:r>
    </w:p>
    <w:p w14:paraId="111A1036" w14:textId="18272B93" w:rsidR="00C16198" w:rsidRPr="004B1850" w:rsidRDefault="00C16198" w:rsidP="00C16198">
      <w:pPr>
        <w:jc w:val="both"/>
        <w:rPr>
          <w:rFonts w:ascii="Times New Roman"/>
          <w:bCs/>
          <w:lang w:eastAsia="zh-CN"/>
        </w:rPr>
      </w:pPr>
      <w:r w:rsidRPr="004B1850">
        <w:rPr>
          <w:rFonts w:ascii="Times New Roman"/>
          <w:bCs/>
          <w:lang w:eastAsia="zh-CN"/>
        </w:rPr>
        <w:t xml:space="preserve">However, considering the strict timeline of R15, we think that the first version of NR could also operate </w:t>
      </w:r>
      <w:r w:rsidR="00AE0101" w:rsidRPr="004B1850">
        <w:rPr>
          <w:rFonts w:ascii="Times New Roman"/>
          <w:bCs/>
          <w:lang w:eastAsia="zh-CN"/>
        </w:rPr>
        <w:t>only</w:t>
      </w:r>
      <w:r w:rsidR="002115A4" w:rsidRPr="004B1850">
        <w:rPr>
          <w:rFonts w:ascii="Times New Roman"/>
          <w:bCs/>
          <w:lang w:eastAsia="zh-CN"/>
        </w:rPr>
        <w:t xml:space="preserve"> </w:t>
      </w:r>
      <w:r w:rsidR="00AE0101" w:rsidRPr="004B1850">
        <w:rPr>
          <w:rFonts w:ascii="Times New Roman"/>
          <w:bCs/>
          <w:lang w:eastAsia="zh-CN"/>
        </w:rPr>
        <w:t>by means of</w:t>
      </w:r>
      <w:r w:rsidRPr="004B1850">
        <w:rPr>
          <w:rFonts w:ascii="Times New Roman"/>
          <w:bCs/>
          <w:lang w:eastAsia="zh-CN"/>
        </w:rPr>
        <w:t xml:space="preserve"> single-slot</w:t>
      </w:r>
      <w:r w:rsidR="002115A4" w:rsidRPr="004B1850">
        <w:rPr>
          <w:rFonts w:ascii="Times New Roman"/>
          <w:bCs/>
          <w:lang w:eastAsia="zh-CN"/>
        </w:rPr>
        <w:t>/mini-slot</w:t>
      </w:r>
      <w:r w:rsidRPr="004B1850">
        <w:rPr>
          <w:rFonts w:ascii="Times New Roman"/>
          <w:bCs/>
          <w:lang w:eastAsia="zh-CN"/>
        </w:rPr>
        <w:t xml:space="preserve"> </w:t>
      </w:r>
      <w:r w:rsidR="002115A4" w:rsidRPr="004B1850">
        <w:rPr>
          <w:rFonts w:ascii="Times New Roman"/>
          <w:bCs/>
          <w:lang w:eastAsia="zh-CN"/>
        </w:rPr>
        <w:t xml:space="preserve">UL </w:t>
      </w:r>
      <w:r w:rsidRPr="004B1850">
        <w:rPr>
          <w:rFonts w:ascii="Times New Roman"/>
          <w:bCs/>
          <w:lang w:eastAsia="zh-CN"/>
        </w:rPr>
        <w:t>grants</w:t>
      </w:r>
      <w:r w:rsidR="002115A4" w:rsidRPr="004B1850">
        <w:rPr>
          <w:rFonts w:ascii="Times New Roman"/>
          <w:bCs/>
          <w:lang w:eastAsia="zh-CN"/>
        </w:rPr>
        <w:t xml:space="preserve"> and DL assignments</w:t>
      </w:r>
      <w:r w:rsidRPr="004B1850">
        <w:rPr>
          <w:rFonts w:ascii="Times New Roman"/>
          <w:bCs/>
          <w:lang w:eastAsia="zh-CN"/>
        </w:rPr>
        <w:t xml:space="preserve">, which would allow many-to-one scheduling and also one-to-many </w:t>
      </w:r>
      <w:r w:rsidR="002115A4" w:rsidRPr="004B1850">
        <w:rPr>
          <w:rFonts w:ascii="Times New Roman"/>
          <w:bCs/>
          <w:lang w:eastAsia="zh-CN"/>
        </w:rPr>
        <w:t>for the case of neighboring numerologies. For example, 15kHz</w:t>
      </w:r>
      <w:r w:rsidR="00AE0101" w:rsidRPr="004B1850">
        <w:rPr>
          <w:rFonts w:ascii="Times New Roman"/>
          <w:bCs/>
          <w:lang w:eastAsia="zh-CN"/>
        </w:rPr>
        <w:t xml:space="preserve"> </w:t>
      </w:r>
      <w:r w:rsidR="002115A4" w:rsidRPr="004B1850">
        <w:rPr>
          <w:rFonts w:ascii="Times New Roman"/>
          <w:bCs/>
          <w:lang w:eastAsia="zh-CN"/>
        </w:rPr>
        <w:t>carrier/cell scheduling 30kHz carrier requires only two scheduling DCIs per PDCCH to schedule peak data rate on 30kHz carrier/cell.</w:t>
      </w:r>
      <w:r w:rsidR="00526256" w:rsidRPr="004B1850">
        <w:rPr>
          <w:rFonts w:ascii="Times New Roman"/>
          <w:bCs/>
          <w:lang w:eastAsia="zh-CN"/>
        </w:rPr>
        <w:t xml:space="preserve"> Furthermore, we do not think that slot-aggregation design is beneficial for CA, because it is designed to extend coverage. UEs in coverage are typically not served in carrier aggregation. Therefore, we think that there is no need to support (at least in R15) slot-aggregation together with cross-carrier scheduling. </w:t>
      </w:r>
    </w:p>
    <w:p w14:paraId="54C43BAF" w14:textId="74B3CEEC" w:rsidR="002115A4" w:rsidRDefault="002115A4" w:rsidP="00510ABC">
      <w:pPr>
        <w:spacing w:after="0"/>
        <w:jc w:val="both"/>
        <w:rPr>
          <w:rFonts w:ascii="Times New Roman"/>
          <w:b/>
          <w:bCs/>
          <w:lang w:eastAsia="zh-CN"/>
        </w:rPr>
      </w:pPr>
      <w:r w:rsidRPr="002115A4">
        <w:rPr>
          <w:rFonts w:ascii="Times New Roman"/>
          <w:b/>
          <w:bCs/>
          <w:lang w:eastAsia="zh-CN"/>
        </w:rPr>
        <w:t>Proposal</w:t>
      </w:r>
      <w:r w:rsidR="00DD4447">
        <w:rPr>
          <w:rFonts w:ascii="Times New Roman"/>
          <w:b/>
          <w:bCs/>
          <w:lang w:eastAsia="zh-CN"/>
        </w:rPr>
        <w:t>-4</w:t>
      </w:r>
      <w:r w:rsidRPr="002115A4">
        <w:rPr>
          <w:rFonts w:ascii="Times New Roman"/>
          <w:b/>
          <w:bCs/>
          <w:lang w:eastAsia="zh-CN"/>
        </w:rPr>
        <w:t xml:space="preserve">: </w:t>
      </w:r>
    </w:p>
    <w:p w14:paraId="6A4AF669" w14:textId="21A4528F" w:rsidR="002115A4" w:rsidRPr="004B1850" w:rsidRDefault="002115A4" w:rsidP="00C505D8">
      <w:pPr>
        <w:pStyle w:val="ListParagraph"/>
        <w:numPr>
          <w:ilvl w:val="0"/>
          <w:numId w:val="8"/>
        </w:numPr>
        <w:jc w:val="both"/>
        <w:rPr>
          <w:rFonts w:ascii="Times New Roman"/>
          <w:b/>
          <w:bCs/>
          <w:lang w:eastAsia="zh-CN"/>
        </w:rPr>
      </w:pPr>
      <w:r w:rsidRPr="004B1850">
        <w:rPr>
          <w:rFonts w:ascii="Times New Roman"/>
          <w:b/>
          <w:bCs/>
          <w:lang w:eastAsia="zh-CN"/>
        </w:rPr>
        <w:t xml:space="preserve">In R15 NR, support cross-carrier scheduling only be means of single-slot/mini-slot scheduling. </w:t>
      </w:r>
    </w:p>
    <w:p w14:paraId="0AF207CA" w14:textId="478431D6" w:rsidR="002115A4" w:rsidRPr="004B1850" w:rsidRDefault="00C12401" w:rsidP="00C505D8">
      <w:pPr>
        <w:pStyle w:val="ListParagraph"/>
        <w:numPr>
          <w:ilvl w:val="0"/>
          <w:numId w:val="8"/>
        </w:numPr>
        <w:jc w:val="both"/>
        <w:rPr>
          <w:rFonts w:ascii="Times New Roman"/>
          <w:b/>
          <w:bCs/>
          <w:lang w:eastAsia="zh-CN"/>
        </w:rPr>
      </w:pPr>
      <w:r w:rsidRPr="004B1850">
        <w:rPr>
          <w:rFonts w:ascii="Times New Roman"/>
          <w:b/>
          <w:bCs/>
          <w:lang w:eastAsia="zh-CN"/>
        </w:rPr>
        <w:t xml:space="preserve">For </w:t>
      </w:r>
      <w:r w:rsidR="002115A4" w:rsidRPr="004B1850">
        <w:rPr>
          <w:rFonts w:ascii="Times New Roman"/>
          <w:b/>
          <w:bCs/>
          <w:lang w:eastAsia="zh-CN"/>
        </w:rPr>
        <w:t>future NR releases consider support</w:t>
      </w:r>
      <w:r w:rsidRPr="004B1850">
        <w:rPr>
          <w:rFonts w:ascii="Times New Roman"/>
          <w:b/>
          <w:bCs/>
          <w:lang w:eastAsia="zh-CN"/>
        </w:rPr>
        <w:t xml:space="preserve"> </w:t>
      </w:r>
      <w:r w:rsidR="002115A4" w:rsidRPr="004B1850">
        <w:rPr>
          <w:rFonts w:ascii="Times New Roman"/>
          <w:b/>
          <w:bCs/>
          <w:lang w:eastAsia="zh-CN"/>
        </w:rPr>
        <w:t xml:space="preserve">of </w:t>
      </w:r>
      <w:r w:rsidRPr="004B1850">
        <w:rPr>
          <w:rFonts w:ascii="Times New Roman"/>
          <w:b/>
          <w:bCs/>
          <w:lang w:eastAsia="zh-CN"/>
        </w:rPr>
        <w:t>cross-</w:t>
      </w:r>
      <w:r w:rsidR="00E3051C" w:rsidRPr="004B1850">
        <w:rPr>
          <w:rFonts w:ascii="Times New Roman"/>
          <w:b/>
          <w:bCs/>
          <w:lang w:eastAsia="zh-CN"/>
        </w:rPr>
        <w:t>carrier</w:t>
      </w:r>
      <w:r w:rsidRPr="004B1850">
        <w:rPr>
          <w:rFonts w:ascii="Times New Roman"/>
          <w:b/>
          <w:bCs/>
          <w:lang w:eastAsia="zh-CN"/>
        </w:rPr>
        <w:t xml:space="preserve"> scheduling</w:t>
      </w:r>
      <w:r w:rsidR="00D07F38">
        <w:rPr>
          <w:rFonts w:ascii="Times New Roman"/>
          <w:b/>
          <w:bCs/>
          <w:lang w:eastAsia="zh-CN"/>
        </w:rPr>
        <w:t xml:space="preserve"> also</w:t>
      </w:r>
      <w:r w:rsidRPr="004B1850">
        <w:rPr>
          <w:rFonts w:ascii="Times New Roman"/>
          <w:b/>
          <w:bCs/>
          <w:lang w:eastAsia="zh-CN"/>
        </w:rPr>
        <w:t xml:space="preserve"> </w:t>
      </w:r>
      <w:r w:rsidR="002115A4" w:rsidRPr="004B1850">
        <w:rPr>
          <w:rFonts w:ascii="Times New Roman"/>
          <w:b/>
          <w:bCs/>
          <w:lang w:eastAsia="zh-CN"/>
        </w:rPr>
        <w:t xml:space="preserve">by means of </w:t>
      </w:r>
      <w:r w:rsidRPr="004B1850">
        <w:rPr>
          <w:rFonts w:ascii="Times New Roman"/>
          <w:b/>
          <w:bCs/>
          <w:lang w:eastAsia="zh-CN"/>
        </w:rPr>
        <w:t xml:space="preserve">multi-slot scheduling. </w:t>
      </w:r>
    </w:p>
    <w:p w14:paraId="13FB65C6" w14:textId="288F4786" w:rsidR="00F925FC" w:rsidRPr="004B1850" w:rsidRDefault="00B350FB" w:rsidP="00C505D8">
      <w:pPr>
        <w:pStyle w:val="ListParagraph"/>
        <w:numPr>
          <w:ilvl w:val="1"/>
          <w:numId w:val="8"/>
        </w:numPr>
        <w:jc w:val="both"/>
        <w:rPr>
          <w:rFonts w:ascii="Times New Roman"/>
          <w:b/>
          <w:bCs/>
          <w:lang w:eastAsia="zh-CN"/>
        </w:rPr>
      </w:pPr>
      <w:r w:rsidRPr="004B1850">
        <w:rPr>
          <w:rFonts w:ascii="Times New Roman"/>
          <w:b/>
          <w:bCs/>
          <w:lang w:eastAsia="zh-CN"/>
        </w:rPr>
        <w:t xml:space="preserve">One </w:t>
      </w:r>
      <w:r w:rsidR="00C16198" w:rsidRPr="004B1850">
        <w:rPr>
          <w:rFonts w:ascii="Times New Roman"/>
          <w:b/>
          <w:bCs/>
          <w:lang w:eastAsia="zh-CN"/>
        </w:rPr>
        <w:t>TB</w:t>
      </w:r>
      <w:r w:rsidR="00F925FC" w:rsidRPr="004B1850">
        <w:rPr>
          <w:rFonts w:ascii="Times New Roman"/>
          <w:b/>
          <w:bCs/>
          <w:lang w:eastAsia="zh-CN"/>
        </w:rPr>
        <w:t xml:space="preserve"> </w:t>
      </w:r>
      <w:r w:rsidR="002115A4" w:rsidRPr="004B1850">
        <w:rPr>
          <w:rFonts w:ascii="Times New Roman"/>
          <w:b/>
          <w:bCs/>
          <w:lang w:eastAsia="zh-CN"/>
        </w:rPr>
        <w:t xml:space="preserve">is </w:t>
      </w:r>
      <w:r w:rsidR="00F925FC" w:rsidRPr="004B1850">
        <w:rPr>
          <w:rFonts w:ascii="Times New Roman"/>
          <w:b/>
          <w:bCs/>
          <w:lang w:eastAsia="zh-CN"/>
        </w:rPr>
        <w:t>mapped per</w:t>
      </w:r>
      <w:r w:rsidRPr="004B1850">
        <w:rPr>
          <w:rFonts w:ascii="Times New Roman"/>
          <w:b/>
          <w:bCs/>
          <w:lang w:eastAsia="zh-CN"/>
        </w:rPr>
        <w:t xml:space="preserve"> each</w:t>
      </w:r>
      <w:r w:rsidR="00F925FC" w:rsidRPr="004B1850">
        <w:rPr>
          <w:rFonts w:ascii="Times New Roman"/>
          <w:b/>
          <w:bCs/>
          <w:lang w:eastAsia="zh-CN"/>
        </w:rPr>
        <w:t xml:space="preserve"> slot per codeword</w:t>
      </w:r>
      <w:r w:rsidR="00C16198" w:rsidRPr="004B1850">
        <w:rPr>
          <w:rFonts w:ascii="Times New Roman"/>
          <w:b/>
          <w:bCs/>
          <w:lang w:eastAsia="zh-CN"/>
        </w:rPr>
        <w:t xml:space="preserve"> to reduce latency and enable peak data rate</w:t>
      </w:r>
      <w:r w:rsidRPr="004B1850">
        <w:rPr>
          <w:rFonts w:ascii="Times New Roman"/>
          <w:b/>
          <w:bCs/>
          <w:lang w:eastAsia="zh-CN"/>
        </w:rPr>
        <w:t>.</w:t>
      </w:r>
      <w:r w:rsidR="00F925FC" w:rsidRPr="004B1850">
        <w:rPr>
          <w:rFonts w:ascii="Times New Roman"/>
          <w:b/>
          <w:bCs/>
          <w:lang w:eastAsia="zh-CN"/>
        </w:rPr>
        <w:t xml:space="preserve"> </w:t>
      </w:r>
    </w:p>
    <w:p w14:paraId="3681E60D" w14:textId="77777777" w:rsidR="00C16198" w:rsidRPr="004B1850" w:rsidRDefault="00C16198" w:rsidP="00C12401">
      <w:pPr>
        <w:jc w:val="both"/>
        <w:rPr>
          <w:rFonts w:ascii="Times New Roman"/>
          <w:b/>
          <w:bCs/>
          <w:u w:val="single"/>
          <w:lang w:eastAsia="zh-CN"/>
        </w:rPr>
      </w:pPr>
    </w:p>
    <w:p w14:paraId="18991299" w14:textId="77777777" w:rsidR="00510ABC" w:rsidRPr="00510ABC" w:rsidRDefault="00510ABC" w:rsidP="00510ABC">
      <w:pPr>
        <w:pStyle w:val="ListParagraph"/>
        <w:keepNext/>
        <w:keepLines/>
        <w:numPr>
          <w:ilvl w:val="0"/>
          <w:numId w:val="4"/>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eastAsia="zh-CN"/>
        </w:rPr>
      </w:pPr>
    </w:p>
    <w:p w14:paraId="0350F9C0" w14:textId="77777777" w:rsidR="00510ABC" w:rsidRPr="00510ABC" w:rsidRDefault="00510ABC" w:rsidP="00510ABC">
      <w:pPr>
        <w:pStyle w:val="ListParagraph"/>
        <w:keepNext/>
        <w:keepLines/>
        <w:numPr>
          <w:ilvl w:val="0"/>
          <w:numId w:val="4"/>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eastAsia="zh-CN"/>
        </w:rPr>
      </w:pPr>
    </w:p>
    <w:p w14:paraId="548784E8" w14:textId="436B3805" w:rsidR="00C12401" w:rsidRPr="00B350FB" w:rsidRDefault="002C4B32" w:rsidP="00510ABC">
      <w:pPr>
        <w:pStyle w:val="Heading3"/>
        <w:rPr>
          <w:lang w:eastAsia="zh-CN"/>
        </w:rPr>
      </w:pPr>
      <w:r>
        <w:rPr>
          <w:lang w:eastAsia="zh-CN"/>
        </w:rPr>
        <w:t>Design of cross-carrier</w:t>
      </w:r>
      <w:r w:rsidR="00C12401" w:rsidRPr="00B350FB">
        <w:rPr>
          <w:lang w:eastAsia="zh-CN"/>
        </w:rPr>
        <w:t xml:space="preserve"> DCI for slot-based </w:t>
      </w:r>
      <w:r w:rsidR="00035B64" w:rsidRPr="00B350FB">
        <w:rPr>
          <w:lang w:eastAsia="zh-CN"/>
        </w:rPr>
        <w:t xml:space="preserve">and mini-slot </w:t>
      </w:r>
      <w:r w:rsidR="00C12401" w:rsidRPr="00B350FB">
        <w:rPr>
          <w:lang w:eastAsia="zh-CN"/>
        </w:rPr>
        <w:t>scheduling</w:t>
      </w:r>
    </w:p>
    <w:p w14:paraId="14849CF1" w14:textId="181279F1" w:rsidR="00035B64" w:rsidRPr="004B1850" w:rsidRDefault="00C12401" w:rsidP="00C12401">
      <w:pPr>
        <w:jc w:val="both"/>
        <w:rPr>
          <w:rFonts w:ascii="Times New Roman"/>
          <w:bCs/>
          <w:lang w:eastAsia="zh-CN"/>
        </w:rPr>
      </w:pPr>
      <w:r w:rsidRPr="004B1850">
        <w:rPr>
          <w:rFonts w:ascii="Times New Roman"/>
          <w:bCs/>
          <w:lang w:eastAsia="zh-CN"/>
        </w:rPr>
        <w:t>The cross-</w:t>
      </w:r>
      <w:r w:rsidR="00B350FB" w:rsidRPr="004B1850">
        <w:rPr>
          <w:rFonts w:ascii="Times New Roman"/>
          <w:bCs/>
          <w:lang w:eastAsia="zh-CN"/>
        </w:rPr>
        <w:t>carrier</w:t>
      </w:r>
      <w:r w:rsidRPr="004B1850">
        <w:rPr>
          <w:rFonts w:ascii="Times New Roman"/>
          <w:bCs/>
          <w:lang w:eastAsia="zh-CN"/>
        </w:rPr>
        <w:t xml:space="preserve"> scheduling DCI should contain the carrier indication field(CIF), which could be of a similar size as the one in LTE, i.e. 3bits</w:t>
      </w:r>
      <w:r w:rsidR="002C4B32" w:rsidRPr="004B1850">
        <w:rPr>
          <w:rFonts w:ascii="Times New Roman"/>
          <w:bCs/>
          <w:lang w:eastAsia="zh-CN"/>
        </w:rPr>
        <w:t>, using pre-configured mapping between carrier and its identifier</w:t>
      </w:r>
      <w:r w:rsidRPr="004B1850">
        <w:rPr>
          <w:rFonts w:ascii="Times New Roman"/>
          <w:bCs/>
          <w:lang w:eastAsia="zh-CN"/>
        </w:rPr>
        <w:t xml:space="preserve">. </w:t>
      </w:r>
      <w:r w:rsidR="00035B64" w:rsidRPr="004B1850">
        <w:rPr>
          <w:rFonts w:ascii="Times New Roman"/>
          <w:bCs/>
          <w:lang w:eastAsia="zh-CN"/>
        </w:rPr>
        <w:t>On the other side, there will be one-to-one mapping between carrier</w:t>
      </w:r>
      <w:r w:rsidR="00CC61E3" w:rsidRPr="004B1850">
        <w:rPr>
          <w:rFonts w:ascii="Times New Roman"/>
          <w:bCs/>
          <w:lang w:eastAsia="zh-CN"/>
        </w:rPr>
        <w:t>/cell</w:t>
      </w:r>
      <w:r w:rsidR="00035B64" w:rsidRPr="004B1850">
        <w:rPr>
          <w:rFonts w:ascii="Times New Roman"/>
          <w:bCs/>
          <w:lang w:eastAsia="zh-CN"/>
        </w:rPr>
        <w:t xml:space="preserve"> and BWP</w:t>
      </w:r>
      <w:r w:rsidR="00CC61E3" w:rsidRPr="004B1850">
        <w:rPr>
          <w:rFonts w:ascii="Times New Roman"/>
          <w:bCs/>
          <w:lang w:eastAsia="zh-CN"/>
        </w:rPr>
        <w:t>, since BW</w:t>
      </w:r>
      <w:r w:rsidR="00526256" w:rsidRPr="004B1850">
        <w:rPr>
          <w:rFonts w:ascii="Times New Roman"/>
          <w:bCs/>
          <w:lang w:eastAsia="zh-CN"/>
        </w:rPr>
        <w:t>P is configured on carrier/cell</w:t>
      </w:r>
      <w:r w:rsidR="00487E64" w:rsidRPr="004B1850">
        <w:rPr>
          <w:rFonts w:ascii="Times New Roman"/>
          <w:bCs/>
          <w:lang w:eastAsia="zh-CN"/>
        </w:rPr>
        <w:t xml:space="preserve">. Therefore, RAN1 </w:t>
      </w:r>
      <w:r w:rsidR="002C4B32" w:rsidRPr="004B1850">
        <w:rPr>
          <w:rFonts w:ascii="Times New Roman"/>
          <w:bCs/>
          <w:lang w:eastAsia="zh-CN"/>
        </w:rPr>
        <w:t xml:space="preserve">could </w:t>
      </w:r>
      <w:r w:rsidR="002115A4" w:rsidRPr="004B1850">
        <w:rPr>
          <w:rFonts w:ascii="Times New Roman"/>
          <w:bCs/>
          <w:lang w:eastAsia="zh-CN"/>
        </w:rPr>
        <w:t>consider</w:t>
      </w:r>
      <w:r w:rsidR="00487E64" w:rsidRPr="004B1850">
        <w:rPr>
          <w:rFonts w:ascii="Times New Roman"/>
          <w:bCs/>
          <w:lang w:eastAsia="zh-CN"/>
        </w:rPr>
        <w:t xml:space="preserve"> joint coding of CIF and BWPI</w:t>
      </w:r>
      <w:r w:rsidR="002C4B32" w:rsidRPr="004B1850">
        <w:rPr>
          <w:rFonts w:ascii="Times New Roman"/>
          <w:bCs/>
          <w:lang w:eastAsia="zh-CN"/>
        </w:rPr>
        <w:t>.</w:t>
      </w:r>
    </w:p>
    <w:p w14:paraId="22E93DE8" w14:textId="623CB662" w:rsidR="00035B64" w:rsidRPr="004B1850" w:rsidRDefault="00487E64" w:rsidP="00C12401">
      <w:pPr>
        <w:jc w:val="both"/>
        <w:rPr>
          <w:rFonts w:ascii="Times New Roman"/>
          <w:b/>
          <w:bCs/>
          <w:lang w:eastAsia="zh-CN"/>
        </w:rPr>
      </w:pPr>
      <w:r w:rsidRPr="004B1850">
        <w:rPr>
          <w:rFonts w:ascii="Times New Roman"/>
          <w:b/>
          <w:bCs/>
          <w:lang w:eastAsia="zh-CN"/>
        </w:rPr>
        <w:t>Proposal-</w:t>
      </w:r>
      <w:r w:rsidR="00DD4447" w:rsidRPr="004B1850">
        <w:rPr>
          <w:rFonts w:ascii="Times New Roman"/>
          <w:b/>
          <w:bCs/>
          <w:lang w:eastAsia="zh-CN"/>
        </w:rPr>
        <w:t>5</w:t>
      </w:r>
      <w:r w:rsidRPr="004B1850">
        <w:rPr>
          <w:rFonts w:ascii="Times New Roman"/>
          <w:b/>
          <w:bCs/>
          <w:lang w:eastAsia="zh-CN"/>
        </w:rPr>
        <w:t>: RAN1 should consider joint coding of CIF and BWPI.</w:t>
      </w:r>
    </w:p>
    <w:p w14:paraId="4C98879C" w14:textId="070BD72A" w:rsidR="002C4B32" w:rsidRDefault="002C4B32" w:rsidP="002C4B32">
      <w:pPr>
        <w:pStyle w:val="BodyText"/>
        <w:overflowPunct/>
        <w:autoSpaceDE/>
        <w:autoSpaceDN/>
        <w:adjustRightInd/>
        <w:jc w:val="both"/>
        <w:textAlignment w:val="auto"/>
        <w:rPr>
          <w:sz w:val="22"/>
          <w:szCs w:val="22"/>
          <w:lang w:val="en-US" w:eastAsia="zh-CN"/>
        </w:rPr>
      </w:pPr>
      <w:r w:rsidRPr="002C4B32">
        <w:rPr>
          <w:sz w:val="22"/>
          <w:szCs w:val="22"/>
          <w:lang w:val="en-US" w:eastAsia="zh-CN"/>
        </w:rPr>
        <w:t xml:space="preserve">In </w:t>
      </w:r>
      <w:r w:rsidR="00CC61E3" w:rsidRPr="00F925FC">
        <w:rPr>
          <w:lang w:val="en-US" w:eastAsia="zh-CN"/>
        </w:rPr>
        <w:t>[NRAH2-10]</w:t>
      </w:r>
      <w:r w:rsidRPr="002C4B32">
        <w:rPr>
          <w:sz w:val="22"/>
          <w:szCs w:val="22"/>
          <w:lang w:val="en-US" w:eastAsia="zh-CN"/>
        </w:rPr>
        <w:t xml:space="preserve">, it has been agreed that offset between DCI scheduling transmission and the start of the transmission is indicated by DCI in granularity according to the numerology of the transmission. </w:t>
      </w:r>
      <w:r w:rsidR="00C12401" w:rsidRPr="002C4B32">
        <w:rPr>
          <w:sz w:val="22"/>
          <w:szCs w:val="22"/>
          <w:lang w:val="en-US" w:eastAsia="zh-CN"/>
        </w:rPr>
        <w:t>Figure 1</w:t>
      </w:r>
      <w:r>
        <w:rPr>
          <w:sz w:val="22"/>
          <w:szCs w:val="22"/>
          <w:lang w:val="en-US" w:eastAsia="zh-CN"/>
        </w:rPr>
        <w:t xml:space="preserve"> and Figure 2 illustrate</w:t>
      </w:r>
    </w:p>
    <w:p w14:paraId="7BFD8885" w14:textId="5E56D11F" w:rsidR="002C4B32" w:rsidRPr="002C4B32" w:rsidRDefault="002C4B32" w:rsidP="00C505D8">
      <w:pPr>
        <w:pStyle w:val="BodyText"/>
        <w:numPr>
          <w:ilvl w:val="0"/>
          <w:numId w:val="9"/>
        </w:numPr>
        <w:overflowPunct/>
        <w:autoSpaceDE/>
        <w:autoSpaceDN/>
        <w:adjustRightInd/>
        <w:jc w:val="both"/>
        <w:textAlignment w:val="auto"/>
        <w:rPr>
          <w:lang w:val="en-US" w:eastAsia="zh-CN"/>
        </w:rPr>
      </w:pPr>
      <w:r w:rsidRPr="002C4B32">
        <w:rPr>
          <w:b/>
          <w:sz w:val="22"/>
          <w:szCs w:val="22"/>
          <w:lang w:val="en-US" w:eastAsia="zh-CN"/>
        </w:rPr>
        <w:t>One-to-many</w:t>
      </w:r>
      <w:r>
        <w:rPr>
          <w:sz w:val="22"/>
          <w:szCs w:val="22"/>
          <w:lang w:val="en-US" w:eastAsia="zh-CN"/>
        </w:rPr>
        <w:t xml:space="preserve"> </w:t>
      </w:r>
      <w:r w:rsidR="00C12401" w:rsidRPr="002C4B32">
        <w:rPr>
          <w:sz w:val="22"/>
          <w:szCs w:val="22"/>
          <w:lang w:val="en-US" w:eastAsia="zh-CN"/>
        </w:rPr>
        <w:t>case</w:t>
      </w:r>
      <w:r>
        <w:rPr>
          <w:sz w:val="22"/>
          <w:szCs w:val="22"/>
          <w:lang w:val="en-US" w:eastAsia="zh-CN"/>
        </w:rPr>
        <w:t>,</w:t>
      </w:r>
      <w:r w:rsidR="00C12401" w:rsidRPr="002C4B32">
        <w:rPr>
          <w:sz w:val="22"/>
          <w:szCs w:val="22"/>
          <w:lang w:val="en-US" w:eastAsia="zh-CN"/>
        </w:rPr>
        <w:t xml:space="preserve"> where </w:t>
      </w:r>
      <w:r>
        <w:rPr>
          <w:sz w:val="22"/>
          <w:szCs w:val="22"/>
          <w:lang w:val="en-US" w:eastAsia="zh-CN"/>
        </w:rPr>
        <w:t>2</w:t>
      </w:r>
      <w:r w:rsidR="00C12401" w:rsidRPr="002C4B32">
        <w:rPr>
          <w:sz w:val="22"/>
          <w:szCs w:val="22"/>
          <w:lang w:val="en-US" w:eastAsia="zh-CN"/>
        </w:rPr>
        <w:t xml:space="preserve"> slots at high-band (CC2) correspond to a single slot in low-band (CC1)</w:t>
      </w:r>
      <w:r>
        <w:rPr>
          <w:sz w:val="22"/>
          <w:szCs w:val="22"/>
          <w:lang w:val="en-US" w:eastAsia="zh-CN"/>
        </w:rPr>
        <w:t xml:space="preserve"> and </w:t>
      </w:r>
    </w:p>
    <w:p w14:paraId="0495D6B6" w14:textId="641BE13F" w:rsidR="00C12401" w:rsidRPr="00035B64" w:rsidRDefault="002C4B32" w:rsidP="00C505D8">
      <w:pPr>
        <w:pStyle w:val="BodyText"/>
        <w:numPr>
          <w:ilvl w:val="0"/>
          <w:numId w:val="9"/>
        </w:numPr>
        <w:overflowPunct/>
        <w:autoSpaceDE/>
        <w:autoSpaceDN/>
        <w:adjustRightInd/>
        <w:jc w:val="both"/>
        <w:textAlignment w:val="auto"/>
        <w:rPr>
          <w:lang w:val="en-US" w:eastAsia="zh-CN"/>
        </w:rPr>
      </w:pPr>
      <w:r w:rsidRPr="002C4B32">
        <w:rPr>
          <w:b/>
          <w:sz w:val="22"/>
          <w:szCs w:val="22"/>
          <w:lang w:val="en-US" w:eastAsia="zh-CN"/>
        </w:rPr>
        <w:lastRenderedPageBreak/>
        <w:t>Many-to-one</w:t>
      </w:r>
      <w:r>
        <w:rPr>
          <w:sz w:val="22"/>
          <w:szCs w:val="22"/>
          <w:lang w:val="en-US" w:eastAsia="zh-CN"/>
        </w:rPr>
        <w:t xml:space="preserve"> case, where 1 slot at low-band (CC2) corresponds to two slots in high-band (CC1) </w:t>
      </w:r>
    </w:p>
    <w:p w14:paraId="035AB50D" w14:textId="0370190A" w:rsidR="00C12401" w:rsidRPr="00035B64" w:rsidRDefault="002C4B32" w:rsidP="00C12401">
      <w:pPr>
        <w:pStyle w:val="BodyText"/>
        <w:overflowPunct/>
        <w:autoSpaceDE/>
        <w:autoSpaceDN/>
        <w:adjustRightInd/>
        <w:ind w:left="1004"/>
        <w:jc w:val="both"/>
        <w:textAlignment w:val="auto"/>
        <w:rPr>
          <w:lang w:val="en-US" w:eastAsia="zh-CN"/>
        </w:rPr>
      </w:pPr>
      <w:r w:rsidRPr="00035B64">
        <w:rPr>
          <w:noProof/>
          <w:lang w:val="en-US"/>
        </w:rPr>
        <mc:AlternateContent>
          <mc:Choice Requires="wps">
            <w:drawing>
              <wp:anchor distT="0" distB="0" distL="114300" distR="114300" simplePos="0" relativeHeight="251697152" behindDoc="0" locked="0" layoutInCell="1" allowOverlap="1" wp14:anchorId="2C4D7C74" wp14:editId="2BCD538E">
                <wp:simplePos x="0" y="0"/>
                <wp:positionH relativeFrom="column">
                  <wp:posOffset>3519170</wp:posOffset>
                </wp:positionH>
                <wp:positionV relativeFrom="paragraph">
                  <wp:posOffset>182426</wp:posOffset>
                </wp:positionV>
                <wp:extent cx="1548130" cy="379095"/>
                <wp:effectExtent l="0" t="0" r="13970" b="20955"/>
                <wp:wrapTopAndBottom/>
                <wp:docPr id="3" name="Rectangle 3"/>
                <wp:cNvGraphicFramePr/>
                <a:graphic xmlns:a="http://schemas.openxmlformats.org/drawingml/2006/main">
                  <a:graphicData uri="http://schemas.microsoft.com/office/word/2010/wordprocessingShape">
                    <wps:wsp>
                      <wps:cNvSpPr/>
                      <wps:spPr>
                        <a:xfrm>
                          <a:off x="0" y="0"/>
                          <a:ext cx="1548130" cy="379095"/>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margin">
                  <wp14:pctWidth>0</wp14:pctWidth>
                </wp14:sizeRelH>
              </wp:anchor>
            </w:drawing>
          </mc:Choice>
          <mc:Fallback>
            <w:pict>
              <v:rect w14:anchorId="17CC8756" id="Rectangle 3" o:spid="_x0000_s1026" style="position:absolute;margin-left:277.1pt;margin-top:14.35pt;width:121.9pt;height:29.8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" filled="f" strokecolor="#4472c4 [3204]" strokeweight=".5pt">
                <v:textbox inset=",2.5mm,,2.5mm"/>
                <w10:wrap type="topAndBottom"/>
              </v:rect>
            </w:pict>
          </mc:Fallback>
        </mc:AlternateContent>
      </w:r>
      <w:r w:rsidRPr="00035B64">
        <w:rPr>
          <w:noProof/>
          <w:lang w:val="en-US"/>
        </w:rPr>
        <mc:AlternateContent>
          <mc:Choice Requires="wps">
            <w:drawing>
              <wp:anchor distT="0" distB="0" distL="114300" distR="114300" simplePos="0" relativeHeight="251643904" behindDoc="0" locked="0" layoutInCell="1" allowOverlap="1" wp14:anchorId="2A356E59" wp14:editId="7B36B45E">
                <wp:simplePos x="0" y="0"/>
                <wp:positionH relativeFrom="column">
                  <wp:posOffset>1972310</wp:posOffset>
                </wp:positionH>
                <wp:positionV relativeFrom="paragraph">
                  <wp:posOffset>187960</wp:posOffset>
                </wp:positionV>
                <wp:extent cx="1548130" cy="379095"/>
                <wp:effectExtent l="0" t="0" r="13970" b="20955"/>
                <wp:wrapTopAndBottom/>
                <wp:docPr id="4" name="Rectangle 4"/>
                <wp:cNvGraphicFramePr/>
                <a:graphic xmlns:a="http://schemas.openxmlformats.org/drawingml/2006/main">
                  <a:graphicData uri="http://schemas.microsoft.com/office/word/2010/wordprocessingShape">
                    <wps:wsp>
                      <wps:cNvSpPr/>
                      <wps:spPr>
                        <a:xfrm>
                          <a:off x="0" y="0"/>
                          <a:ext cx="1548130" cy="379095"/>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margin">
                  <wp14:pctWidth>0</wp14:pctWidth>
                </wp14:sizeRelH>
              </wp:anchor>
            </w:drawing>
          </mc:Choice>
          <mc:Fallback>
            <w:pict>
              <v:rect w14:anchorId="13538087" id="Rectangle 4" o:spid="_x0000_s1026" style="position:absolute;margin-left:155.3pt;margin-top:14.8pt;width:121.9pt;height:29.85pt;z-index:251643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" filled="f" strokecolor="#4472c4 [3204]" strokeweight=".5pt">
                <v:textbox inset=",2.5mm,,2.5mm"/>
                <w10:wrap type="topAndBottom"/>
              </v:rect>
            </w:pict>
          </mc:Fallback>
        </mc:AlternateContent>
      </w:r>
      <w:r w:rsidR="00177D8E" w:rsidRPr="00035B64">
        <w:rPr>
          <w:noProof/>
          <w:lang w:val="en-US"/>
        </w:rPr>
        <mc:AlternateContent>
          <mc:Choice Requires="wps">
            <w:drawing>
              <wp:anchor distT="0" distB="0" distL="114300" distR="114300" simplePos="0" relativeHeight="251655168" behindDoc="0" locked="0" layoutInCell="1" allowOverlap="1" wp14:anchorId="75AE5CBA" wp14:editId="62E06098">
                <wp:simplePos x="0" y="0"/>
                <wp:positionH relativeFrom="column">
                  <wp:posOffset>2023110</wp:posOffset>
                </wp:positionH>
                <wp:positionV relativeFrom="paragraph">
                  <wp:posOffset>562783</wp:posOffset>
                </wp:positionV>
                <wp:extent cx="124691" cy="284018"/>
                <wp:effectExtent l="57150" t="0" r="27940" b="59055"/>
                <wp:wrapTopAndBottom/>
                <wp:docPr id="20" name="Straight Arrow Connector 20"/>
                <wp:cNvGraphicFramePr/>
                <a:graphic xmlns:a="http://schemas.openxmlformats.org/drawingml/2006/main">
                  <a:graphicData uri="http://schemas.microsoft.com/office/word/2010/wordprocessingShape">
                    <wps:wsp>
                      <wps:cNvCnPr/>
                      <wps:spPr>
                        <a:xfrm flipH="1">
                          <a:off x="0" y="0"/>
                          <a:ext cx="124691" cy="284018"/>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1260A27" id="_x0000_t32" coordsize="21600,21600" o:spt="32" o:oned="t" path="m,l21600,21600e" filled="f">
                <v:path arrowok="t" fillok="f" o:connecttype="none"/>
                <o:lock v:ext="edit" shapetype="t"/>
              </v:shapetype>
              <v:shape id="Straight Arrow Connector 20" o:spid="_x0000_s1026" type="#_x0000_t32" style="position:absolute;margin-left:159.3pt;margin-top:44.3pt;width:9.8pt;height:22.35pt;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" strokecolor="#a5a5a5 [3206]" strokeweight="1.5pt">
                <v:stroke endarrow="open" joinstyle="miter"/>
                <w10:wrap type="topAndBottom"/>
              </v:shape>
            </w:pict>
          </mc:Fallback>
        </mc:AlternateContent>
      </w:r>
      <w:r w:rsidR="00EA2D24">
        <w:rPr>
          <w:noProof/>
          <w:lang w:val="en-US"/>
        </w:rPr>
        <mc:AlternateContent>
          <mc:Choice Requires="wps">
            <w:drawing>
              <wp:anchor distT="0" distB="0" distL="114300" distR="114300" simplePos="0" relativeHeight="251646976" behindDoc="0" locked="0" layoutInCell="1" allowOverlap="1" wp14:anchorId="32E5E5DB" wp14:editId="40BBAD37">
                <wp:simplePos x="0" y="0"/>
                <wp:positionH relativeFrom="column">
                  <wp:posOffset>2017248</wp:posOffset>
                </wp:positionH>
                <wp:positionV relativeFrom="paragraph">
                  <wp:posOffset>847334</wp:posOffset>
                </wp:positionV>
                <wp:extent cx="732497" cy="372745"/>
                <wp:effectExtent l="0" t="0" r="10795" b="27305"/>
                <wp:wrapTopAndBottom/>
                <wp:docPr id="8" name="Rectangle 8"/>
                <wp:cNvGraphicFramePr/>
                <a:graphic xmlns:a="http://schemas.openxmlformats.org/drawingml/2006/main">
                  <a:graphicData uri="http://schemas.microsoft.com/office/word/2010/wordprocessingShape">
                    <wps:wsp>
                      <wps:cNvSpPr/>
                      <wps:spPr>
                        <a:xfrm>
                          <a:off x="0" y="0"/>
                          <a:ext cx="732497" cy="372745"/>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margin">
                  <wp14:pctWidth>0</wp14:pctWidth>
                </wp14:sizeRelH>
                <wp14:sizeRelV relativeFrom="margin">
                  <wp14:pctHeight>0</wp14:pctHeight>
                </wp14:sizeRelV>
              </wp:anchor>
            </w:drawing>
          </mc:Choice>
          <mc:Fallback>
            <w:pict>
              <v:rect w14:anchorId="5D09846B" id="Rectangle 8" o:spid="_x0000_s1026" style="position:absolute;margin-left:158.85pt;margin-top:66.7pt;width:57.7pt;height:29.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" filled="f" strokecolor="#4472c4 [3204]" strokeweight=".5pt">
                <v:textbox inset=",2.5mm,,2.5mm"/>
                <w10:wrap type="topAndBottom"/>
              </v:rect>
            </w:pict>
          </mc:Fallback>
        </mc:AlternateContent>
      </w:r>
      <w:r w:rsidR="009116AE">
        <w:rPr>
          <w:noProof/>
          <w:lang w:val="en-US"/>
        </w:rPr>
        <mc:AlternateContent>
          <mc:Choice Requires="wps">
            <w:drawing>
              <wp:anchor distT="0" distB="0" distL="114300" distR="114300" simplePos="0" relativeHeight="251653120" behindDoc="0" locked="0" layoutInCell="1" allowOverlap="1" wp14:anchorId="2A0402CA" wp14:editId="7E7D4110">
                <wp:simplePos x="0" y="0"/>
                <wp:positionH relativeFrom="column">
                  <wp:posOffset>4301490</wp:posOffset>
                </wp:positionH>
                <wp:positionV relativeFrom="paragraph">
                  <wp:posOffset>850265</wp:posOffset>
                </wp:positionV>
                <wp:extent cx="775544" cy="379681"/>
                <wp:effectExtent l="0" t="0" r="24765" b="20955"/>
                <wp:wrapTopAndBottom/>
                <wp:docPr id="17" name="Rectangle 17"/>
                <wp:cNvGraphicFramePr/>
                <a:graphic xmlns:a="http://schemas.openxmlformats.org/drawingml/2006/main">
                  <a:graphicData uri="http://schemas.microsoft.com/office/word/2010/wordprocessingShape">
                    <wps:wsp>
                      <wps:cNvSpPr/>
                      <wps:spPr>
                        <a:xfrm>
                          <a:off x="0" y="0"/>
                          <a:ext cx="775544" cy="379681"/>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rect w14:anchorId="300960C3" id="Rectangle 17" o:spid="_x0000_s1026" style="position:absolute;margin-left:338.7pt;margin-top:66.95pt;width:61.05pt;height:29.9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" filled="f" strokecolor="#4472c4 [3204]" strokeweight=".5pt">
                <v:textbox inset=",2.5mm,,2.5mm"/>
                <w10:wrap type="topAndBottom"/>
              </v:rect>
            </w:pict>
          </mc:Fallback>
        </mc:AlternateContent>
      </w:r>
      <w:r w:rsidR="009116AE">
        <w:rPr>
          <w:noProof/>
          <w:lang w:val="en-US"/>
        </w:rPr>
        <mc:AlternateContent>
          <mc:Choice Requires="wps">
            <w:drawing>
              <wp:anchor distT="0" distB="0" distL="114300" distR="114300" simplePos="0" relativeHeight="251651072" behindDoc="0" locked="0" layoutInCell="1" allowOverlap="1" wp14:anchorId="3E13B013" wp14:editId="02EAFA94">
                <wp:simplePos x="0" y="0"/>
                <wp:positionH relativeFrom="column">
                  <wp:posOffset>3524250</wp:posOffset>
                </wp:positionH>
                <wp:positionV relativeFrom="paragraph">
                  <wp:posOffset>850265</wp:posOffset>
                </wp:positionV>
                <wp:extent cx="775544" cy="379681"/>
                <wp:effectExtent l="0" t="0" r="24765" b="20955"/>
                <wp:wrapTopAndBottom/>
                <wp:docPr id="14" name="Rectangle 14"/>
                <wp:cNvGraphicFramePr/>
                <a:graphic xmlns:a="http://schemas.openxmlformats.org/drawingml/2006/main">
                  <a:graphicData uri="http://schemas.microsoft.com/office/word/2010/wordprocessingShape">
                    <wps:wsp>
                      <wps:cNvSpPr/>
                      <wps:spPr>
                        <a:xfrm>
                          <a:off x="0" y="0"/>
                          <a:ext cx="775544" cy="379681"/>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rect w14:anchorId="5F16023E" id="Rectangle 14" o:spid="_x0000_s1026" style="position:absolute;margin-left:277.5pt;margin-top:66.95pt;width:61.05pt;height:29.9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" filled="f" strokecolor="#4472c4 [3204]" strokeweight=".5pt">
                <v:textbox inset=",2.5mm,,2.5mm"/>
                <w10:wrap type="topAndBottom"/>
              </v:rect>
            </w:pict>
          </mc:Fallback>
        </mc:AlternateContent>
      </w:r>
      <w:r w:rsidR="009116AE">
        <w:rPr>
          <w:noProof/>
          <w:lang w:val="en-US"/>
        </w:rPr>
        <mc:AlternateContent>
          <mc:Choice Requires="wps">
            <w:drawing>
              <wp:anchor distT="0" distB="0" distL="114300" distR="114300" simplePos="0" relativeHeight="251649024" behindDoc="0" locked="0" layoutInCell="1" allowOverlap="1" wp14:anchorId="3456F4A7" wp14:editId="15A5947D">
                <wp:simplePos x="0" y="0"/>
                <wp:positionH relativeFrom="column">
                  <wp:posOffset>2747010</wp:posOffset>
                </wp:positionH>
                <wp:positionV relativeFrom="paragraph">
                  <wp:posOffset>842645</wp:posOffset>
                </wp:positionV>
                <wp:extent cx="775544" cy="379681"/>
                <wp:effectExtent l="0" t="0" r="24765" b="20955"/>
                <wp:wrapTopAndBottom/>
                <wp:docPr id="11" name="Rectangle 11"/>
                <wp:cNvGraphicFramePr/>
                <a:graphic xmlns:a="http://schemas.openxmlformats.org/drawingml/2006/main">
                  <a:graphicData uri="http://schemas.microsoft.com/office/word/2010/wordprocessingShape">
                    <wps:wsp>
                      <wps:cNvSpPr/>
                      <wps:spPr>
                        <a:xfrm>
                          <a:off x="0" y="0"/>
                          <a:ext cx="775544" cy="379681"/>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rect w14:anchorId="0402C339" id="Rectangle 11" o:spid="_x0000_s1026" style="position:absolute;margin-left:216.3pt;margin-top:66.35pt;width:61.05pt;height:29.9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" filled="f" strokecolor="#4472c4 [3204]" strokeweight=".5pt">
                <v:textbox inset=",2.5mm,,2.5mm"/>
                <w10:wrap type="topAndBottom"/>
              </v:rect>
            </w:pict>
          </mc:Fallback>
        </mc:AlternateContent>
      </w:r>
      <w:r w:rsidR="00652D59" w:rsidRPr="00035B64">
        <w:rPr>
          <w:noProof/>
          <w:lang w:val="en-US"/>
        </w:rPr>
        <mc:AlternateContent>
          <mc:Choice Requires="wps">
            <w:drawing>
              <wp:anchor distT="0" distB="0" distL="114300" distR="114300" simplePos="0" relativeHeight="251644928" behindDoc="0" locked="0" layoutInCell="1" allowOverlap="1" wp14:anchorId="1CF66885" wp14:editId="7646D5D8">
                <wp:simplePos x="0" y="0"/>
                <wp:positionH relativeFrom="column">
                  <wp:posOffset>1973649</wp:posOffset>
                </wp:positionH>
                <wp:positionV relativeFrom="paragraph">
                  <wp:posOffset>184982</wp:posOffset>
                </wp:positionV>
                <wp:extent cx="342682" cy="379681"/>
                <wp:effectExtent l="0" t="0" r="635" b="1905"/>
                <wp:wrapTopAndBottom/>
                <wp:docPr id="6" name="Rectangle 6"/>
                <wp:cNvGraphicFramePr/>
                <a:graphic xmlns:a="http://schemas.openxmlformats.org/drawingml/2006/main">
                  <a:graphicData uri="http://schemas.microsoft.com/office/word/2010/wordprocessingShape">
                    <wps:wsp>
                      <wps:cNvSpPr/>
                      <wps:spPr>
                        <a:xfrm>
                          <a:off x="0" y="0"/>
                          <a:ext cx="342682" cy="379681"/>
                        </a:xfrm>
                        <a:prstGeom prst="rect">
                          <a:avLst/>
                        </a:prstGeom>
                        <a:solidFill>
                          <a:schemeClr val="bg2"/>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rect w14:anchorId="1454036C" id="Rectangle 6" o:spid="_x0000_s1026" style="position:absolute;margin-left:155.4pt;margin-top:14.55pt;width:27pt;height:29.9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" fillcolor="#e7e6e6 [3214]" stroked="f" strokeweight=".5pt">
                <v:textbox inset=",2.5mm,,2.5mm"/>
                <w10:wrap type="topAndBottom"/>
              </v:rect>
            </w:pict>
          </mc:Fallback>
        </mc:AlternateContent>
      </w:r>
      <w:r w:rsidR="00652D59" w:rsidRPr="00035B64">
        <w:rPr>
          <w:noProof/>
          <w:lang w:val="en-US"/>
        </w:rPr>
        <mc:AlternateContent>
          <mc:Choice Requires="wps">
            <w:drawing>
              <wp:anchor distT="0" distB="0" distL="114300" distR="114300" simplePos="0" relativeHeight="251658240" behindDoc="0" locked="0" layoutInCell="1" allowOverlap="1" wp14:anchorId="7EB14128" wp14:editId="12B4C790">
                <wp:simplePos x="0" y="0"/>
                <wp:positionH relativeFrom="column">
                  <wp:posOffset>788670</wp:posOffset>
                </wp:positionH>
                <wp:positionV relativeFrom="paragraph">
                  <wp:posOffset>161290</wp:posOffset>
                </wp:positionV>
                <wp:extent cx="1127664" cy="441941"/>
                <wp:effectExtent l="0" t="0" r="0" b="0"/>
                <wp:wrapTopAndBottom/>
                <wp:docPr id="23" name="TextBox 14"/>
                <wp:cNvGraphicFramePr/>
                <a:graphic xmlns:a="http://schemas.openxmlformats.org/drawingml/2006/main">
                  <a:graphicData uri="http://schemas.microsoft.com/office/word/2010/wordprocessingShape">
                    <wps:wsp>
                      <wps:cNvSpPr txBox="1"/>
                      <wps:spPr>
                        <a:xfrm>
                          <a:off x="0" y="0"/>
                          <a:ext cx="1127664" cy="441941"/>
                        </a:xfrm>
                        <a:prstGeom prst="rect">
                          <a:avLst/>
                        </a:prstGeom>
                        <a:noFill/>
                      </wps:spPr>
                      <wps:txbx>
                        <w:txbxContent>
                          <w:p w14:paraId="696D97FA" w14:textId="77777777" w:rsidR="005C65DC" w:rsidRPr="004B1850" w:rsidRDefault="005C65DC" w:rsidP="00C12401">
                            <w:pPr>
                              <w:pStyle w:val="NormalWeb"/>
                              <w:spacing w:before="0" w:beforeAutospacing="0" w:after="0" w:afterAutospacing="0"/>
                              <w:textAlignment w:val="baseline"/>
                              <w:rPr>
                                <w:sz w:val="16"/>
                                <w:szCs w:val="16"/>
                              </w:rPr>
                            </w:pPr>
                            <w:r w:rsidRPr="004B1850">
                              <w:rPr>
                                <w:rFonts w:ascii="Arial" w:eastAsia="ヒラギノ角ゴ Pro W3" w:hAnsi="Arial" w:cs="ヒラギノ角ゴ Pro W3"/>
                                <w:color w:val="000000" w:themeColor="text1"/>
                                <w:kern w:val="24"/>
                                <w:sz w:val="16"/>
                                <w:szCs w:val="16"/>
                              </w:rPr>
                              <w:t>Low band: scheduling small SCS (CC1)</w:t>
                            </w:r>
                          </w:p>
                        </w:txbxContent>
                      </wps:txbx>
                      <wps:bodyPr wrap="square" rtlCol="0">
                        <a:spAutoFit/>
                      </wps:bodyPr>
                    </wps:wsp>
                  </a:graphicData>
                </a:graphic>
              </wp:anchor>
            </w:drawing>
          </mc:Choice>
          <mc:Fallback>
            <w:pict>
              <v:shapetype w14:anchorId="7EB14128" id="_x0000_t202" coordsize="21600,21600" o:spt="202" path="m,l,21600r21600,l21600,xe">
                <v:stroke joinstyle="miter"/>
                <v:path gradientshapeok="t" o:connecttype="rect"/>
              </v:shapetype>
              <v:shape id="TextBox 14" o:spid="_x0000_s1026" type="#_x0000_t202" style="position:absolute;left:0;text-align:left;margin-left:62.1pt;margin-top:12.7pt;width:88.8pt;height:34.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" filled="f" stroked="f">
                <v:textbox style="mso-fit-shape-to-text:t">
                  <w:txbxContent>
                    <w:p w14:paraId="696D97FA" w14:textId="77777777" w:rsidR="005C65DC" w:rsidRPr="004B1850" w:rsidRDefault="005C65DC" w:rsidP="00C12401">
                      <w:pPr>
                        <w:pStyle w:val="NormalWeb"/>
                        <w:spacing w:before="0" w:beforeAutospacing="0" w:after="0" w:afterAutospacing="0"/>
                        <w:textAlignment w:val="baseline"/>
                        <w:rPr>
                          <w:sz w:val="16"/>
                          <w:szCs w:val="16"/>
                        </w:rPr>
                      </w:pPr>
                      <w:r w:rsidRPr="004B1850">
                        <w:rPr>
                          <w:rFonts w:ascii="Arial" w:eastAsia="ヒラギノ角ゴ Pro W3" w:hAnsi="Arial" w:cs="ヒラギノ角ゴ Pro W3"/>
                          <w:color w:val="000000" w:themeColor="text1"/>
                          <w:kern w:val="24"/>
                          <w:sz w:val="16"/>
                          <w:szCs w:val="16"/>
                        </w:rPr>
                        <w:t>Low band: scheduling small SCS (CC1)</w:t>
                      </w:r>
                    </w:p>
                  </w:txbxContent>
                </v:textbox>
                <w10:wrap type="topAndBottom"/>
              </v:shape>
            </w:pict>
          </mc:Fallback>
        </mc:AlternateContent>
      </w:r>
      <w:r w:rsidR="00652D59" w:rsidRPr="00035B64">
        <w:rPr>
          <w:noProof/>
          <w:lang w:val="en-US"/>
        </w:rPr>
        <mc:AlternateContent>
          <mc:Choice Requires="wps">
            <w:drawing>
              <wp:anchor distT="0" distB="0" distL="114300" distR="114300" simplePos="0" relativeHeight="251659264" behindDoc="0" locked="0" layoutInCell="1" allowOverlap="1" wp14:anchorId="6D123DE0" wp14:editId="2D184BA7">
                <wp:simplePos x="0" y="0"/>
                <wp:positionH relativeFrom="column">
                  <wp:posOffset>797196</wp:posOffset>
                </wp:positionH>
                <wp:positionV relativeFrom="paragraph">
                  <wp:posOffset>809913</wp:posOffset>
                </wp:positionV>
                <wp:extent cx="960039" cy="444212"/>
                <wp:effectExtent l="0" t="0" r="0" b="0"/>
                <wp:wrapTopAndBottom/>
                <wp:docPr id="24" name="TextBox 15"/>
                <wp:cNvGraphicFramePr/>
                <a:graphic xmlns:a="http://schemas.openxmlformats.org/drawingml/2006/main">
                  <a:graphicData uri="http://schemas.microsoft.com/office/word/2010/wordprocessingShape">
                    <wps:wsp>
                      <wps:cNvSpPr txBox="1"/>
                      <wps:spPr>
                        <a:xfrm>
                          <a:off x="0" y="0"/>
                          <a:ext cx="960039" cy="444212"/>
                        </a:xfrm>
                        <a:prstGeom prst="rect">
                          <a:avLst/>
                        </a:prstGeom>
                        <a:noFill/>
                      </wps:spPr>
                      <wps:txbx>
                        <w:txbxContent>
                          <w:p w14:paraId="5137B180" w14:textId="77777777" w:rsidR="005C65DC" w:rsidRPr="004B1850" w:rsidRDefault="005C65DC" w:rsidP="00C12401">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4B1850">
                              <w:rPr>
                                <w:rFonts w:ascii="Arial" w:eastAsia="ヒラギノ角ゴ Pro W3" w:hAnsi="Arial" w:cs="ヒラギノ角ゴ Pro W3"/>
                                <w:color w:val="000000" w:themeColor="text1"/>
                                <w:kern w:val="24"/>
                                <w:sz w:val="16"/>
                                <w:szCs w:val="16"/>
                              </w:rPr>
                              <w:t xml:space="preserve">High band: </w:t>
                            </w:r>
                          </w:p>
                          <w:p w14:paraId="60A154D0" w14:textId="77777777" w:rsidR="005C65DC" w:rsidRPr="004B1850" w:rsidRDefault="005C65DC" w:rsidP="00C12401">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4B1850">
                              <w:rPr>
                                <w:rFonts w:ascii="Arial" w:eastAsia="ヒラギノ角ゴ Pro W3" w:hAnsi="Arial" w:cs="ヒラギノ角ゴ Pro W3"/>
                                <w:color w:val="000000" w:themeColor="text1"/>
                                <w:kern w:val="24"/>
                                <w:sz w:val="16"/>
                                <w:szCs w:val="16"/>
                              </w:rPr>
                              <w:t xml:space="preserve">scheduled large </w:t>
                            </w:r>
                          </w:p>
                          <w:p w14:paraId="283F9D2F" w14:textId="77777777" w:rsidR="005C65DC" w:rsidRPr="004B1850" w:rsidRDefault="005C65DC" w:rsidP="00C12401">
                            <w:pPr>
                              <w:pStyle w:val="NormalWeb"/>
                              <w:spacing w:before="0" w:beforeAutospacing="0" w:after="0" w:afterAutospacing="0"/>
                              <w:textAlignment w:val="baseline"/>
                              <w:rPr>
                                <w:sz w:val="16"/>
                                <w:szCs w:val="16"/>
                              </w:rPr>
                            </w:pPr>
                            <w:r w:rsidRPr="004B1850">
                              <w:rPr>
                                <w:rFonts w:ascii="Arial" w:eastAsia="ヒラギノ角ゴ Pro W3" w:hAnsi="Arial" w:cs="ヒラギノ角ゴ Pro W3"/>
                                <w:color w:val="000000" w:themeColor="text1"/>
                                <w:kern w:val="24"/>
                                <w:sz w:val="16"/>
                                <w:szCs w:val="16"/>
                              </w:rPr>
                              <w:t>SCS (CC2)</w:t>
                            </w:r>
                          </w:p>
                        </w:txbxContent>
                      </wps:txbx>
                      <wps:bodyPr wrap="square" rtlCol="0">
                        <a:noAutofit/>
                      </wps:bodyPr>
                    </wps:wsp>
                  </a:graphicData>
                </a:graphic>
              </wp:anchor>
            </w:drawing>
          </mc:Choice>
          <mc:Fallback>
            <w:pict>
              <v:shape w14:anchorId="6D123DE0" id="TextBox 15" o:spid="_x0000_s1027" type="#_x0000_t202" style="position:absolute;left:0;text-align:left;margin-left:62.75pt;margin-top:63.75pt;width:75.6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" filled="f" stroked="f">
                <v:textbox>
                  <w:txbxContent>
                    <w:p w14:paraId="5137B180" w14:textId="77777777" w:rsidR="005C65DC" w:rsidRPr="004B1850" w:rsidRDefault="005C65DC" w:rsidP="00C12401">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4B1850">
                        <w:rPr>
                          <w:rFonts w:ascii="Arial" w:eastAsia="ヒラギノ角ゴ Pro W3" w:hAnsi="Arial" w:cs="ヒラギノ角ゴ Pro W3"/>
                          <w:color w:val="000000" w:themeColor="text1"/>
                          <w:kern w:val="24"/>
                          <w:sz w:val="16"/>
                          <w:szCs w:val="16"/>
                        </w:rPr>
                        <w:t xml:space="preserve">High band: </w:t>
                      </w:r>
                    </w:p>
                    <w:p w14:paraId="60A154D0" w14:textId="77777777" w:rsidR="005C65DC" w:rsidRPr="004B1850" w:rsidRDefault="005C65DC" w:rsidP="00C12401">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4B1850">
                        <w:rPr>
                          <w:rFonts w:ascii="Arial" w:eastAsia="ヒラギノ角ゴ Pro W3" w:hAnsi="Arial" w:cs="ヒラギノ角ゴ Pro W3"/>
                          <w:color w:val="000000" w:themeColor="text1"/>
                          <w:kern w:val="24"/>
                          <w:sz w:val="16"/>
                          <w:szCs w:val="16"/>
                        </w:rPr>
                        <w:t xml:space="preserve">scheduled large </w:t>
                      </w:r>
                    </w:p>
                    <w:p w14:paraId="283F9D2F" w14:textId="77777777" w:rsidR="005C65DC" w:rsidRPr="004B1850" w:rsidRDefault="005C65DC" w:rsidP="00C12401">
                      <w:pPr>
                        <w:pStyle w:val="NormalWeb"/>
                        <w:spacing w:before="0" w:beforeAutospacing="0" w:after="0" w:afterAutospacing="0"/>
                        <w:textAlignment w:val="baseline"/>
                        <w:rPr>
                          <w:sz w:val="16"/>
                          <w:szCs w:val="16"/>
                        </w:rPr>
                      </w:pPr>
                      <w:r w:rsidRPr="004B1850">
                        <w:rPr>
                          <w:rFonts w:ascii="Arial" w:eastAsia="ヒラギノ角ゴ Pro W3" w:hAnsi="Arial" w:cs="ヒラギノ角ゴ Pro W3"/>
                          <w:color w:val="000000" w:themeColor="text1"/>
                          <w:kern w:val="24"/>
                          <w:sz w:val="16"/>
                          <w:szCs w:val="16"/>
                        </w:rPr>
                        <w:t>SCS (CC2)</w:t>
                      </w:r>
                    </w:p>
                  </w:txbxContent>
                </v:textbox>
                <w10:wrap type="topAndBottom"/>
              </v:shape>
            </w:pict>
          </mc:Fallback>
        </mc:AlternateContent>
      </w:r>
    </w:p>
    <w:p w14:paraId="49E0584A" w14:textId="3DF02DA0" w:rsidR="00C12401" w:rsidRPr="00035B64" w:rsidRDefault="00C12401" w:rsidP="00C12401">
      <w:pPr>
        <w:pStyle w:val="BodyText"/>
        <w:overflowPunct/>
        <w:autoSpaceDE/>
        <w:autoSpaceDN/>
        <w:adjustRightInd/>
        <w:jc w:val="center"/>
        <w:textAlignment w:val="auto"/>
        <w:rPr>
          <w:lang w:val="en-US" w:eastAsia="zh-CN"/>
        </w:rPr>
      </w:pPr>
      <w:r w:rsidRPr="00035B64">
        <w:t xml:space="preserve">Figure </w:t>
      </w:r>
      <w:r w:rsidRPr="00035B64">
        <w:fldChar w:fldCharType="begin"/>
      </w:r>
      <w:r w:rsidRPr="00035B64">
        <w:instrText xml:space="preserve"> SEQ Figure \* ARABIC </w:instrText>
      </w:r>
      <w:r w:rsidRPr="00035B64">
        <w:fldChar w:fldCharType="separate"/>
      </w:r>
      <w:r w:rsidR="00995A5F">
        <w:rPr>
          <w:noProof/>
        </w:rPr>
        <w:t>1</w:t>
      </w:r>
      <w:r w:rsidRPr="00035B64">
        <w:fldChar w:fldCharType="end"/>
      </w:r>
      <w:r w:rsidRPr="00035B64">
        <w:t xml:space="preserve">. </w:t>
      </w:r>
      <w:r w:rsidRPr="00035B64">
        <w:rPr>
          <w:lang w:eastAsia="zh-CN"/>
        </w:rPr>
        <w:t>illustration for cross-numerology scheduling</w:t>
      </w:r>
      <w:r w:rsidR="00661A42" w:rsidRPr="00035B64">
        <w:rPr>
          <w:lang w:eastAsia="zh-CN"/>
        </w:rPr>
        <w:t xml:space="preserve"> one-to-many</w:t>
      </w:r>
    </w:p>
    <w:p w14:paraId="3EA7DAEF" w14:textId="78B50F48" w:rsidR="00C12401" w:rsidRDefault="00C12401" w:rsidP="00C12401">
      <w:pPr>
        <w:pStyle w:val="BodyText"/>
        <w:overflowPunct/>
        <w:autoSpaceDE/>
        <w:autoSpaceDN/>
        <w:adjustRightInd/>
        <w:jc w:val="both"/>
        <w:textAlignment w:val="auto"/>
        <w:rPr>
          <w:lang w:val="en-US" w:eastAsia="zh-CN"/>
        </w:rPr>
      </w:pPr>
    </w:p>
    <w:p w14:paraId="5479EAAD" w14:textId="2635F801" w:rsidR="00434AF9" w:rsidRPr="00035B64" w:rsidRDefault="005E39F8" w:rsidP="00434AF9">
      <w:pPr>
        <w:pStyle w:val="BodyText"/>
        <w:overflowPunct/>
        <w:autoSpaceDE/>
        <w:autoSpaceDN/>
        <w:adjustRightInd/>
        <w:ind w:left="1004"/>
        <w:jc w:val="both"/>
        <w:textAlignment w:val="auto"/>
        <w:rPr>
          <w:lang w:val="en-US" w:eastAsia="zh-CN"/>
        </w:rPr>
      </w:pPr>
      <w:r w:rsidRPr="00035B64">
        <w:rPr>
          <w:noProof/>
          <w:lang w:val="en-US"/>
        </w:rPr>
        <mc:AlternateContent>
          <mc:Choice Requires="wps">
            <w:drawing>
              <wp:anchor distT="0" distB="0" distL="114300" distR="114300" simplePos="0" relativeHeight="251695104" behindDoc="0" locked="0" layoutInCell="1" allowOverlap="1" wp14:anchorId="3BE43446" wp14:editId="4582B987">
                <wp:simplePos x="0" y="0"/>
                <wp:positionH relativeFrom="column">
                  <wp:posOffset>1974215</wp:posOffset>
                </wp:positionH>
                <wp:positionV relativeFrom="paragraph">
                  <wp:posOffset>520065</wp:posOffset>
                </wp:positionV>
                <wp:extent cx="65405" cy="377825"/>
                <wp:effectExtent l="76200" t="38100" r="48895" b="22225"/>
                <wp:wrapTopAndBottom/>
                <wp:docPr id="5" name="Straight Arrow Connector 5"/>
                <wp:cNvGraphicFramePr/>
                <a:graphic xmlns:a="http://schemas.openxmlformats.org/drawingml/2006/main">
                  <a:graphicData uri="http://schemas.microsoft.com/office/word/2010/wordprocessingShape">
                    <wps:wsp>
                      <wps:cNvCnPr/>
                      <wps:spPr>
                        <a:xfrm flipH="1" flipV="1">
                          <a:off x="0" y="0"/>
                          <a:ext cx="65405" cy="377825"/>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DBF85F" id="Straight Arrow Connector 5" o:spid="_x0000_s1026" type="#_x0000_t32" style="position:absolute;margin-left:155.45pt;margin-top:40.95pt;width:5.15pt;height:29.75pt;flip:x 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" strokecolor="#a5a5a5 [3206]" strokeweight="1.5pt">
                <v:stroke endarrow="open" joinstyle="miter"/>
                <w10:wrap type="topAndBottom"/>
              </v:shape>
            </w:pict>
          </mc:Fallback>
        </mc:AlternateContent>
      </w:r>
      <w:r w:rsidR="00434AF9" w:rsidRPr="00035B64">
        <w:rPr>
          <w:noProof/>
          <w:lang w:val="en-US"/>
        </w:rPr>
        <mc:AlternateContent>
          <mc:Choice Requires="wps">
            <w:drawing>
              <wp:anchor distT="0" distB="0" distL="114300" distR="114300" simplePos="0" relativeHeight="251691008" behindDoc="0" locked="0" layoutInCell="1" allowOverlap="1" wp14:anchorId="22BA78C6" wp14:editId="7F77F522">
                <wp:simplePos x="0" y="0"/>
                <wp:positionH relativeFrom="column">
                  <wp:posOffset>2861310</wp:posOffset>
                </wp:positionH>
                <wp:positionV relativeFrom="paragraph">
                  <wp:posOffset>593090</wp:posOffset>
                </wp:positionV>
                <wp:extent cx="670560" cy="434340"/>
                <wp:effectExtent l="0" t="38100" r="53340" b="22860"/>
                <wp:wrapTopAndBottom/>
                <wp:docPr id="44" name="Straight Arrow Connector 44"/>
                <wp:cNvGraphicFramePr/>
                <a:graphic xmlns:a="http://schemas.openxmlformats.org/drawingml/2006/main">
                  <a:graphicData uri="http://schemas.microsoft.com/office/word/2010/wordprocessingShape">
                    <wps:wsp>
                      <wps:cNvCnPr/>
                      <wps:spPr>
                        <a:xfrm flipV="1">
                          <a:off x="0" y="0"/>
                          <a:ext cx="670560" cy="434340"/>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58F6AF" id="Straight Arrow Connector 44" o:spid="_x0000_s1026" type="#_x0000_t32" style="position:absolute;margin-left:225.3pt;margin-top:46.7pt;width:52.8pt;height:34.2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" strokecolor="#a5a5a5 [3206]" strokeweight="1.5pt">
                <v:stroke endarrow="open" joinstyle="miter"/>
                <w10:wrap type="topAndBottom"/>
              </v:shape>
            </w:pict>
          </mc:Fallback>
        </mc:AlternateContent>
      </w:r>
      <w:r w:rsidR="00434AF9" w:rsidRPr="00035B64">
        <w:rPr>
          <w:noProof/>
          <w:lang w:val="en-US"/>
        </w:rPr>
        <mc:AlternateContent>
          <mc:Choice Requires="wps">
            <w:drawing>
              <wp:anchor distT="0" distB="0" distL="114300" distR="114300" simplePos="0" relativeHeight="251689984" behindDoc="0" locked="0" layoutInCell="1" allowOverlap="1" wp14:anchorId="3FA2E884" wp14:editId="67BEE48C">
                <wp:simplePos x="0" y="0"/>
                <wp:positionH relativeFrom="column">
                  <wp:posOffset>3539490</wp:posOffset>
                </wp:positionH>
                <wp:positionV relativeFrom="paragraph">
                  <wp:posOffset>189230</wp:posOffset>
                </wp:positionV>
                <wp:extent cx="1569720" cy="379095"/>
                <wp:effectExtent l="0" t="0" r="11430" b="20955"/>
                <wp:wrapTopAndBottom/>
                <wp:docPr id="42" name="Rectangle 42"/>
                <wp:cNvGraphicFramePr/>
                <a:graphic xmlns:a="http://schemas.openxmlformats.org/drawingml/2006/main">
                  <a:graphicData uri="http://schemas.microsoft.com/office/word/2010/wordprocessingShape">
                    <wps:wsp>
                      <wps:cNvSpPr/>
                      <wps:spPr>
                        <a:xfrm>
                          <a:off x="0" y="0"/>
                          <a:ext cx="1569720" cy="379095"/>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margin">
                  <wp14:pctWidth>0</wp14:pctWidth>
                </wp14:sizeRelH>
              </wp:anchor>
            </w:drawing>
          </mc:Choice>
          <mc:Fallback>
            <w:pict>
              <v:rect w14:anchorId="5BE807C6" id="Rectangle 42" o:spid="_x0000_s1026" style="position:absolute;margin-left:278.7pt;margin-top:14.9pt;width:123.6pt;height:29.8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" filled="f" strokecolor="#4472c4 [3204]" strokeweight=".5pt">
                <v:textbox inset=",2.5mm,,2.5mm"/>
                <w10:wrap type="topAndBottom"/>
              </v:rect>
            </w:pict>
          </mc:Fallback>
        </mc:AlternateContent>
      </w:r>
      <w:r w:rsidR="00434AF9" w:rsidRPr="00035B64">
        <w:rPr>
          <w:noProof/>
          <w:lang w:val="en-US"/>
        </w:rPr>
        <mc:AlternateContent>
          <mc:Choice Requires="wps">
            <w:drawing>
              <wp:anchor distT="0" distB="0" distL="114300" distR="114300" simplePos="0" relativeHeight="251682816" behindDoc="0" locked="0" layoutInCell="1" allowOverlap="1" wp14:anchorId="2152AB79" wp14:editId="7B8907E9">
                <wp:simplePos x="0" y="0"/>
                <wp:positionH relativeFrom="column">
                  <wp:posOffset>1969770</wp:posOffset>
                </wp:positionH>
                <wp:positionV relativeFrom="paragraph">
                  <wp:posOffset>186690</wp:posOffset>
                </wp:positionV>
                <wp:extent cx="1569720" cy="379095"/>
                <wp:effectExtent l="0" t="0" r="11430" b="20955"/>
                <wp:wrapTopAndBottom/>
                <wp:docPr id="1" name="Rectangle 1"/>
                <wp:cNvGraphicFramePr/>
                <a:graphic xmlns:a="http://schemas.openxmlformats.org/drawingml/2006/main">
                  <a:graphicData uri="http://schemas.microsoft.com/office/word/2010/wordprocessingShape">
                    <wps:wsp>
                      <wps:cNvSpPr/>
                      <wps:spPr>
                        <a:xfrm>
                          <a:off x="0" y="0"/>
                          <a:ext cx="1569720" cy="379095"/>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margin">
                  <wp14:pctWidth>0</wp14:pctWidth>
                </wp14:sizeRelH>
              </wp:anchor>
            </w:drawing>
          </mc:Choice>
          <mc:Fallback>
            <w:pict>
              <v:rect w14:anchorId="1B103763" id="Rectangle 1" o:spid="_x0000_s1026" style="position:absolute;margin-left:155.1pt;margin-top:14.7pt;width:123.6pt;height:29.85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" filled="f" strokecolor="#4472c4 [3204]" strokeweight=".5pt">
                <v:textbox inset=",2.5mm,,2.5mm"/>
                <w10:wrap type="topAndBottom"/>
              </v:rect>
            </w:pict>
          </mc:Fallback>
        </mc:AlternateContent>
      </w:r>
      <w:r w:rsidR="00434AF9" w:rsidRPr="00035B64">
        <w:rPr>
          <w:noProof/>
          <w:lang w:val="en-US"/>
        </w:rPr>
        <mc:AlternateContent>
          <mc:Choice Requires="wpg">
            <w:drawing>
              <wp:anchor distT="0" distB="0" distL="114300" distR="114300" simplePos="0" relativeHeight="251683840" behindDoc="0" locked="0" layoutInCell="1" allowOverlap="1" wp14:anchorId="5301765F" wp14:editId="7A26F6BF">
                <wp:simplePos x="0" y="0"/>
                <wp:positionH relativeFrom="column">
                  <wp:posOffset>1973649</wp:posOffset>
                </wp:positionH>
                <wp:positionV relativeFrom="paragraph">
                  <wp:posOffset>849424</wp:posOffset>
                </wp:positionV>
                <wp:extent cx="775544" cy="382845"/>
                <wp:effectExtent l="0" t="0" r="24765" b="17780"/>
                <wp:wrapTopAndBottom/>
                <wp:docPr id="25" name="Group 25"/>
                <wp:cNvGraphicFramePr/>
                <a:graphic xmlns:a="http://schemas.openxmlformats.org/drawingml/2006/main">
                  <a:graphicData uri="http://schemas.microsoft.com/office/word/2010/wordprocessingGroup">
                    <wpg:wgp>
                      <wpg:cNvGrpSpPr/>
                      <wpg:grpSpPr>
                        <a:xfrm>
                          <a:off x="0" y="0"/>
                          <a:ext cx="775544" cy="382845"/>
                          <a:chOff x="1085850" y="669575"/>
                          <a:chExt cx="819150" cy="384175"/>
                        </a:xfrm>
                      </wpg:grpSpPr>
                      <wps:wsp>
                        <wps:cNvPr id="26" name="Rectangle 26"/>
                        <wps:cNvSpPr/>
                        <wps:spPr>
                          <a:xfrm>
                            <a:off x="10858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27" name="Rectangle 27"/>
                        <wps:cNvSpPr/>
                        <wps:spPr>
                          <a:xfrm>
                            <a:off x="108585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47CA39DA" id="Group 25" o:spid="_x0000_s1026" style="position:absolute;margin-left:155.4pt;margin-top:66.9pt;width:61.05pt;height:30.15pt;z-index:251683840" coordorigin="10858,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">
                <v:rect id="Rectangle 26" o:spid="_x0000_s1027" style="position:absolute;left:10858;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" filled="f" strokecolor="#4472c4 [3204]" strokeweight=".5pt">
                  <v:textbox inset=",2.5mm,,2.5mm"/>
                </v:rect>
                <v:rect id="Rectangle 27" o:spid="_x0000_s1028" style="position:absolute;left:10858;top:6727;width:181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" fillcolor="red" stroked="f" strokeweight=".5pt">
                  <v:textbox inset=",2.5mm,,2.5mm"/>
                </v:rect>
                <w10:wrap type="topAndBottom"/>
              </v:group>
            </w:pict>
          </mc:Fallback>
        </mc:AlternateContent>
      </w:r>
      <w:r w:rsidR="00434AF9" w:rsidRPr="00035B64">
        <w:rPr>
          <w:noProof/>
          <w:lang w:val="en-US"/>
        </w:rPr>
        <mc:AlternateContent>
          <mc:Choice Requires="wpg">
            <w:drawing>
              <wp:anchor distT="0" distB="0" distL="114300" distR="114300" simplePos="0" relativeHeight="251684864" behindDoc="0" locked="0" layoutInCell="1" allowOverlap="1" wp14:anchorId="43D4EE3B" wp14:editId="5AC41630">
                <wp:simplePos x="0" y="0"/>
                <wp:positionH relativeFrom="column">
                  <wp:posOffset>2749193</wp:posOffset>
                </wp:positionH>
                <wp:positionV relativeFrom="paragraph">
                  <wp:posOffset>846260</wp:posOffset>
                </wp:positionV>
                <wp:extent cx="775544" cy="382845"/>
                <wp:effectExtent l="0" t="0" r="24765" b="17780"/>
                <wp:wrapTopAndBottom/>
                <wp:docPr id="28" name="Group 28"/>
                <wp:cNvGraphicFramePr/>
                <a:graphic xmlns:a="http://schemas.openxmlformats.org/drawingml/2006/main">
                  <a:graphicData uri="http://schemas.microsoft.com/office/word/2010/wordprocessingGroup">
                    <wpg:wgp>
                      <wpg:cNvGrpSpPr/>
                      <wpg:grpSpPr>
                        <a:xfrm>
                          <a:off x="0" y="0"/>
                          <a:ext cx="775544" cy="382845"/>
                          <a:chOff x="1905000" y="666400"/>
                          <a:chExt cx="819150" cy="384175"/>
                        </a:xfrm>
                      </wpg:grpSpPr>
                      <wps:wsp>
                        <wps:cNvPr id="29" name="Rectangle 29"/>
                        <wps:cNvSpPr/>
                        <wps:spPr>
                          <a:xfrm>
                            <a:off x="1905000" y="666400"/>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30" name="Rectangle 30"/>
                        <wps:cNvSpPr/>
                        <wps:spPr>
                          <a:xfrm>
                            <a:off x="1905000" y="669575"/>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04020B2D" id="Group 28" o:spid="_x0000_s1026" style="position:absolute;margin-left:216.45pt;margin-top:66.65pt;width:61.05pt;height:30.15pt;z-index:251684864" coordorigin="19050,6664"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">
                <v:rect id="Rectangle 29" o:spid="_x0000_s1027" style="position:absolute;left:19050;top:6664;width:819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" filled="f" strokecolor="#4472c4 [3204]" strokeweight=".5pt">
                  <v:textbox inset=",2.5mm,,2.5mm"/>
                </v:rect>
                <v:rect id="Rectangle 30" o:spid="_x0000_s1028" style="position:absolute;left:19050;top:6695;width:180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" fillcolor="red" stroked="f" strokeweight=".5pt">
                  <v:textbox inset=",2.5mm,,2.5mm"/>
                </v:rect>
                <w10:wrap type="topAndBottom"/>
              </v:group>
            </w:pict>
          </mc:Fallback>
        </mc:AlternateContent>
      </w:r>
      <w:r w:rsidR="00434AF9" w:rsidRPr="00035B64">
        <w:rPr>
          <w:noProof/>
          <w:lang w:val="en-US"/>
        </w:rPr>
        <mc:AlternateContent>
          <mc:Choice Requires="wpg">
            <w:drawing>
              <wp:anchor distT="0" distB="0" distL="114300" distR="114300" simplePos="0" relativeHeight="251685888" behindDoc="0" locked="0" layoutInCell="1" allowOverlap="1" wp14:anchorId="2F941797" wp14:editId="5F59C1C3">
                <wp:simplePos x="0" y="0"/>
                <wp:positionH relativeFrom="column">
                  <wp:posOffset>3524737</wp:posOffset>
                </wp:positionH>
                <wp:positionV relativeFrom="paragraph">
                  <wp:posOffset>849424</wp:posOffset>
                </wp:positionV>
                <wp:extent cx="775544" cy="382845"/>
                <wp:effectExtent l="0" t="0" r="24765" b="17780"/>
                <wp:wrapTopAndBottom/>
                <wp:docPr id="31" name="Group 31"/>
                <wp:cNvGraphicFramePr/>
                <a:graphic xmlns:a="http://schemas.openxmlformats.org/drawingml/2006/main">
                  <a:graphicData uri="http://schemas.microsoft.com/office/word/2010/wordprocessingGroup">
                    <wpg:wgp>
                      <wpg:cNvGrpSpPr/>
                      <wpg:grpSpPr>
                        <a:xfrm>
                          <a:off x="0" y="0"/>
                          <a:ext cx="775544" cy="382845"/>
                          <a:chOff x="2724150" y="669575"/>
                          <a:chExt cx="819150" cy="384175"/>
                        </a:xfrm>
                      </wpg:grpSpPr>
                      <wps:wsp>
                        <wps:cNvPr id="32" name="Rectangle 32"/>
                        <wps:cNvSpPr/>
                        <wps:spPr>
                          <a:xfrm>
                            <a:off x="27241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33" name="Rectangle 33"/>
                        <wps:cNvSpPr/>
                        <wps:spPr>
                          <a:xfrm>
                            <a:off x="272415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5D5D0FBE" id="Group 31" o:spid="_x0000_s1026" style="position:absolute;margin-left:277.55pt;margin-top:66.9pt;width:61.05pt;height:30.15pt;z-index:251685888" coordorigin="27241,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">
                <v:rect id="Rectangle 32" o:spid="_x0000_s1027" style="position:absolute;left:27241;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" filled="f" strokecolor="#4472c4 [3204]" strokeweight=".5pt">
                  <v:textbox inset=",2.5mm,,2.5mm"/>
                </v:rect>
                <v:rect id="Rectangle 33" o:spid="_x0000_s1028" style="position:absolute;left:27241;top:6727;width:181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" fillcolor="red" stroked="f" strokeweight=".5pt">
                  <v:textbox inset=",2.5mm,,2.5mm"/>
                </v:rect>
                <w10:wrap type="topAndBottom"/>
              </v:group>
            </w:pict>
          </mc:Fallback>
        </mc:AlternateContent>
      </w:r>
      <w:r w:rsidR="00434AF9" w:rsidRPr="00035B64">
        <w:rPr>
          <w:noProof/>
          <w:lang w:val="en-US"/>
        </w:rPr>
        <mc:AlternateContent>
          <mc:Choice Requires="wpg">
            <w:drawing>
              <wp:anchor distT="0" distB="0" distL="114300" distR="114300" simplePos="0" relativeHeight="251686912" behindDoc="0" locked="0" layoutInCell="1" allowOverlap="1" wp14:anchorId="116B41BD" wp14:editId="5AC5B8B7">
                <wp:simplePos x="0" y="0"/>
                <wp:positionH relativeFrom="column">
                  <wp:posOffset>4300282</wp:posOffset>
                </wp:positionH>
                <wp:positionV relativeFrom="paragraph">
                  <wp:posOffset>849424</wp:posOffset>
                </wp:positionV>
                <wp:extent cx="775544" cy="382845"/>
                <wp:effectExtent l="0" t="0" r="24765" b="17780"/>
                <wp:wrapTopAndBottom/>
                <wp:docPr id="34" name="Group 34"/>
                <wp:cNvGraphicFramePr/>
                <a:graphic xmlns:a="http://schemas.openxmlformats.org/drawingml/2006/main">
                  <a:graphicData uri="http://schemas.microsoft.com/office/word/2010/wordprocessingGroup">
                    <wpg:wgp>
                      <wpg:cNvGrpSpPr/>
                      <wpg:grpSpPr>
                        <a:xfrm>
                          <a:off x="0" y="0"/>
                          <a:ext cx="775544" cy="382845"/>
                          <a:chOff x="3543300" y="669575"/>
                          <a:chExt cx="819150" cy="384175"/>
                        </a:xfrm>
                      </wpg:grpSpPr>
                      <wps:wsp>
                        <wps:cNvPr id="35" name="Rectangle 35"/>
                        <wps:cNvSpPr/>
                        <wps:spPr>
                          <a:xfrm>
                            <a:off x="354330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36" name="Rectangle 36"/>
                        <wps:cNvSpPr/>
                        <wps:spPr>
                          <a:xfrm>
                            <a:off x="354330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1AF3EB9B" id="Group 34" o:spid="_x0000_s1026" style="position:absolute;margin-left:338.6pt;margin-top:66.9pt;width:61.05pt;height:30.15pt;z-index:251686912" coordorigin="35433,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">
                <v:rect id="Rectangle 35" o:spid="_x0000_s1027" style="position:absolute;left:35433;top:6695;width:819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" filled="f" strokecolor="#4472c4 [3204]" strokeweight=".5pt">
                  <v:textbox inset=",2.5mm,,2.5mm"/>
                </v:rect>
                <v:rect id="Rectangle 36" o:spid="_x0000_s1028" style="position:absolute;left:35433;top:6727;width:180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" fillcolor="red" stroked="f" strokeweight=".5pt">
                  <v:textbox inset=",2.5mm,,2.5mm"/>
                </v:rect>
                <w10:wrap type="topAndBottom"/>
              </v:group>
            </w:pict>
          </mc:Fallback>
        </mc:AlternateContent>
      </w:r>
      <w:r w:rsidR="00434AF9" w:rsidRPr="00035B64">
        <w:rPr>
          <w:noProof/>
          <w:lang w:val="en-US"/>
        </w:rPr>
        <mc:AlternateContent>
          <mc:Choice Requires="wps">
            <w:drawing>
              <wp:anchor distT="0" distB="0" distL="114300" distR="114300" simplePos="0" relativeHeight="251687936" behindDoc="0" locked="0" layoutInCell="1" allowOverlap="1" wp14:anchorId="6E4C2223" wp14:editId="79C69ADD">
                <wp:simplePos x="0" y="0"/>
                <wp:positionH relativeFrom="column">
                  <wp:posOffset>788670</wp:posOffset>
                </wp:positionH>
                <wp:positionV relativeFrom="paragraph">
                  <wp:posOffset>161290</wp:posOffset>
                </wp:positionV>
                <wp:extent cx="1127664" cy="441941"/>
                <wp:effectExtent l="0" t="0" r="0" b="0"/>
                <wp:wrapTopAndBottom/>
                <wp:docPr id="40" name="TextBox 14"/>
                <wp:cNvGraphicFramePr/>
                <a:graphic xmlns:a="http://schemas.openxmlformats.org/drawingml/2006/main">
                  <a:graphicData uri="http://schemas.microsoft.com/office/word/2010/wordprocessingShape">
                    <wps:wsp>
                      <wps:cNvSpPr txBox="1"/>
                      <wps:spPr>
                        <a:xfrm>
                          <a:off x="0" y="0"/>
                          <a:ext cx="1127664" cy="441941"/>
                        </a:xfrm>
                        <a:prstGeom prst="rect">
                          <a:avLst/>
                        </a:prstGeom>
                        <a:noFill/>
                      </wps:spPr>
                      <wps:txbx>
                        <w:txbxContent>
                          <w:p w14:paraId="1C72B58E" w14:textId="77777777" w:rsidR="005C65DC" w:rsidRPr="004B1850" w:rsidRDefault="005C65DC" w:rsidP="00434AF9">
                            <w:pPr>
                              <w:pStyle w:val="NormalWeb"/>
                              <w:spacing w:before="0" w:beforeAutospacing="0" w:after="0" w:afterAutospacing="0"/>
                              <w:textAlignment w:val="baseline"/>
                              <w:rPr>
                                <w:sz w:val="16"/>
                                <w:szCs w:val="16"/>
                              </w:rPr>
                            </w:pPr>
                            <w:r w:rsidRPr="004B1850">
                              <w:rPr>
                                <w:rFonts w:ascii="Arial" w:eastAsia="ヒラギノ角ゴ Pro W3" w:hAnsi="Arial" w:cs="ヒラギノ角ゴ Pro W3"/>
                                <w:color w:val="000000" w:themeColor="text1"/>
                                <w:kern w:val="24"/>
                                <w:sz w:val="16"/>
                                <w:szCs w:val="16"/>
                              </w:rPr>
                              <w:t>Low band: scheduling small SCS (CC1)</w:t>
                            </w:r>
                          </w:p>
                        </w:txbxContent>
                      </wps:txbx>
                      <wps:bodyPr wrap="square" rtlCol="0">
                        <a:spAutoFit/>
                      </wps:bodyPr>
                    </wps:wsp>
                  </a:graphicData>
                </a:graphic>
              </wp:anchor>
            </w:drawing>
          </mc:Choice>
          <mc:Fallback>
            <w:pict>
              <v:shape w14:anchorId="6E4C2223" id="_x0000_s1028" type="#_x0000_t202" style="position:absolute;left:0;text-align:left;margin-left:62.1pt;margin-top:12.7pt;width:88.8pt;height:34.8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" filled="f" stroked="f">
                <v:textbox style="mso-fit-shape-to-text:t">
                  <w:txbxContent>
                    <w:p w14:paraId="1C72B58E" w14:textId="77777777" w:rsidR="005C65DC" w:rsidRPr="004B1850" w:rsidRDefault="005C65DC" w:rsidP="00434AF9">
                      <w:pPr>
                        <w:pStyle w:val="NormalWeb"/>
                        <w:spacing w:before="0" w:beforeAutospacing="0" w:after="0" w:afterAutospacing="0"/>
                        <w:textAlignment w:val="baseline"/>
                        <w:rPr>
                          <w:sz w:val="16"/>
                          <w:szCs w:val="16"/>
                        </w:rPr>
                      </w:pPr>
                      <w:r w:rsidRPr="004B1850">
                        <w:rPr>
                          <w:rFonts w:ascii="Arial" w:eastAsia="ヒラギノ角ゴ Pro W3" w:hAnsi="Arial" w:cs="ヒラギノ角ゴ Pro W3"/>
                          <w:color w:val="000000" w:themeColor="text1"/>
                          <w:kern w:val="24"/>
                          <w:sz w:val="16"/>
                          <w:szCs w:val="16"/>
                        </w:rPr>
                        <w:t>Low band: scheduling small SCS (CC1)</w:t>
                      </w:r>
                    </w:p>
                  </w:txbxContent>
                </v:textbox>
                <w10:wrap type="topAndBottom"/>
              </v:shape>
            </w:pict>
          </mc:Fallback>
        </mc:AlternateContent>
      </w:r>
      <w:r w:rsidR="00434AF9" w:rsidRPr="00035B64">
        <w:rPr>
          <w:noProof/>
          <w:lang w:val="en-US"/>
        </w:rPr>
        <mc:AlternateContent>
          <mc:Choice Requires="wps">
            <w:drawing>
              <wp:anchor distT="0" distB="0" distL="114300" distR="114300" simplePos="0" relativeHeight="251688960" behindDoc="0" locked="0" layoutInCell="1" allowOverlap="1" wp14:anchorId="532FFDC1" wp14:editId="7326BD7C">
                <wp:simplePos x="0" y="0"/>
                <wp:positionH relativeFrom="column">
                  <wp:posOffset>797196</wp:posOffset>
                </wp:positionH>
                <wp:positionV relativeFrom="paragraph">
                  <wp:posOffset>809913</wp:posOffset>
                </wp:positionV>
                <wp:extent cx="960039" cy="444212"/>
                <wp:effectExtent l="0" t="0" r="0" b="0"/>
                <wp:wrapTopAndBottom/>
                <wp:docPr id="41" name="TextBox 15"/>
                <wp:cNvGraphicFramePr/>
                <a:graphic xmlns:a="http://schemas.openxmlformats.org/drawingml/2006/main">
                  <a:graphicData uri="http://schemas.microsoft.com/office/word/2010/wordprocessingShape">
                    <wps:wsp>
                      <wps:cNvSpPr txBox="1"/>
                      <wps:spPr>
                        <a:xfrm>
                          <a:off x="0" y="0"/>
                          <a:ext cx="960039" cy="444212"/>
                        </a:xfrm>
                        <a:prstGeom prst="rect">
                          <a:avLst/>
                        </a:prstGeom>
                        <a:noFill/>
                      </wps:spPr>
                      <wps:txbx>
                        <w:txbxContent>
                          <w:p w14:paraId="77ABCEDE" w14:textId="77777777" w:rsidR="005C65DC" w:rsidRPr="004B1850" w:rsidRDefault="005C65DC" w:rsidP="00434AF9">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4B1850">
                              <w:rPr>
                                <w:rFonts w:ascii="Arial" w:eastAsia="ヒラギノ角ゴ Pro W3" w:hAnsi="Arial" w:cs="ヒラギノ角ゴ Pro W3"/>
                                <w:color w:val="000000" w:themeColor="text1"/>
                                <w:kern w:val="24"/>
                                <w:sz w:val="16"/>
                                <w:szCs w:val="16"/>
                              </w:rPr>
                              <w:t xml:space="preserve">High band: </w:t>
                            </w:r>
                          </w:p>
                          <w:p w14:paraId="152C0307" w14:textId="77777777" w:rsidR="005C65DC" w:rsidRPr="004B1850" w:rsidRDefault="005C65DC" w:rsidP="00434AF9">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4B1850">
                              <w:rPr>
                                <w:rFonts w:ascii="Arial" w:eastAsia="ヒラギノ角ゴ Pro W3" w:hAnsi="Arial" w:cs="ヒラギノ角ゴ Pro W3"/>
                                <w:color w:val="000000" w:themeColor="text1"/>
                                <w:kern w:val="24"/>
                                <w:sz w:val="16"/>
                                <w:szCs w:val="16"/>
                              </w:rPr>
                              <w:t xml:space="preserve">scheduled large </w:t>
                            </w:r>
                          </w:p>
                          <w:p w14:paraId="547CD811" w14:textId="77777777" w:rsidR="005C65DC" w:rsidRPr="004B1850" w:rsidRDefault="005C65DC" w:rsidP="00434AF9">
                            <w:pPr>
                              <w:pStyle w:val="NormalWeb"/>
                              <w:spacing w:before="0" w:beforeAutospacing="0" w:after="0" w:afterAutospacing="0"/>
                              <w:textAlignment w:val="baseline"/>
                              <w:rPr>
                                <w:sz w:val="16"/>
                                <w:szCs w:val="16"/>
                              </w:rPr>
                            </w:pPr>
                            <w:r w:rsidRPr="004B1850">
                              <w:rPr>
                                <w:rFonts w:ascii="Arial" w:eastAsia="ヒラギノ角ゴ Pro W3" w:hAnsi="Arial" w:cs="ヒラギノ角ゴ Pro W3"/>
                                <w:color w:val="000000" w:themeColor="text1"/>
                                <w:kern w:val="24"/>
                                <w:sz w:val="16"/>
                                <w:szCs w:val="16"/>
                              </w:rPr>
                              <w:t>SCS (CC2)</w:t>
                            </w:r>
                          </w:p>
                        </w:txbxContent>
                      </wps:txbx>
                      <wps:bodyPr wrap="square" rtlCol="0">
                        <a:noAutofit/>
                      </wps:bodyPr>
                    </wps:wsp>
                  </a:graphicData>
                </a:graphic>
              </wp:anchor>
            </w:drawing>
          </mc:Choice>
          <mc:Fallback>
            <w:pict>
              <v:shape w14:anchorId="532FFDC1" id="_x0000_s1029" type="#_x0000_t202" style="position:absolute;left:0;text-align:left;margin-left:62.75pt;margin-top:63.75pt;width:75.6pt;height:3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" filled="f" stroked="f">
                <v:textbox>
                  <w:txbxContent>
                    <w:p w14:paraId="77ABCEDE" w14:textId="77777777" w:rsidR="005C65DC" w:rsidRPr="004B1850" w:rsidRDefault="005C65DC" w:rsidP="00434AF9">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4B1850">
                        <w:rPr>
                          <w:rFonts w:ascii="Arial" w:eastAsia="ヒラギノ角ゴ Pro W3" w:hAnsi="Arial" w:cs="ヒラギノ角ゴ Pro W3"/>
                          <w:color w:val="000000" w:themeColor="text1"/>
                          <w:kern w:val="24"/>
                          <w:sz w:val="16"/>
                          <w:szCs w:val="16"/>
                        </w:rPr>
                        <w:t xml:space="preserve">High band: </w:t>
                      </w:r>
                    </w:p>
                    <w:p w14:paraId="152C0307" w14:textId="77777777" w:rsidR="005C65DC" w:rsidRPr="004B1850" w:rsidRDefault="005C65DC" w:rsidP="00434AF9">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4B1850">
                        <w:rPr>
                          <w:rFonts w:ascii="Arial" w:eastAsia="ヒラギノ角ゴ Pro W3" w:hAnsi="Arial" w:cs="ヒラギノ角ゴ Pro W3"/>
                          <w:color w:val="000000" w:themeColor="text1"/>
                          <w:kern w:val="24"/>
                          <w:sz w:val="16"/>
                          <w:szCs w:val="16"/>
                        </w:rPr>
                        <w:t xml:space="preserve">scheduled large </w:t>
                      </w:r>
                    </w:p>
                    <w:p w14:paraId="547CD811" w14:textId="77777777" w:rsidR="005C65DC" w:rsidRPr="004B1850" w:rsidRDefault="005C65DC" w:rsidP="00434AF9">
                      <w:pPr>
                        <w:pStyle w:val="NormalWeb"/>
                        <w:spacing w:before="0" w:beforeAutospacing="0" w:after="0" w:afterAutospacing="0"/>
                        <w:textAlignment w:val="baseline"/>
                        <w:rPr>
                          <w:sz w:val="16"/>
                          <w:szCs w:val="16"/>
                        </w:rPr>
                      </w:pPr>
                      <w:r w:rsidRPr="004B1850">
                        <w:rPr>
                          <w:rFonts w:ascii="Arial" w:eastAsia="ヒラギノ角ゴ Pro W3" w:hAnsi="Arial" w:cs="ヒラギノ角ゴ Pro W3"/>
                          <w:color w:val="000000" w:themeColor="text1"/>
                          <w:kern w:val="24"/>
                          <w:sz w:val="16"/>
                          <w:szCs w:val="16"/>
                        </w:rPr>
                        <w:t>SCS (CC2)</w:t>
                      </w:r>
                    </w:p>
                  </w:txbxContent>
                </v:textbox>
                <w10:wrap type="topAndBottom"/>
              </v:shape>
            </w:pict>
          </mc:Fallback>
        </mc:AlternateContent>
      </w:r>
    </w:p>
    <w:p w14:paraId="642CDB44" w14:textId="77777777" w:rsidR="00434AF9" w:rsidRPr="00035B64" w:rsidRDefault="00434AF9" w:rsidP="00434AF9">
      <w:pPr>
        <w:pStyle w:val="BodyText"/>
        <w:overflowPunct/>
        <w:autoSpaceDE/>
        <w:autoSpaceDN/>
        <w:adjustRightInd/>
        <w:jc w:val="center"/>
        <w:textAlignment w:val="auto"/>
        <w:rPr>
          <w:lang w:val="en-US" w:eastAsia="zh-CN"/>
        </w:rPr>
      </w:pPr>
      <w:r w:rsidRPr="00035B64">
        <w:t xml:space="preserve">Figure 2. </w:t>
      </w:r>
      <w:r w:rsidRPr="00035B64">
        <w:rPr>
          <w:lang w:eastAsia="zh-CN"/>
        </w:rPr>
        <w:t>illustration for cross-numerology scheduling many-to-one</w:t>
      </w:r>
    </w:p>
    <w:p w14:paraId="5518333E" w14:textId="77777777" w:rsidR="00434AF9" w:rsidRPr="00035B64" w:rsidRDefault="00434AF9" w:rsidP="00C12401">
      <w:pPr>
        <w:pStyle w:val="BodyText"/>
        <w:overflowPunct/>
        <w:autoSpaceDE/>
        <w:autoSpaceDN/>
        <w:adjustRightInd/>
        <w:jc w:val="both"/>
        <w:textAlignment w:val="auto"/>
        <w:rPr>
          <w:lang w:val="en-US" w:eastAsia="zh-CN"/>
        </w:rPr>
      </w:pPr>
    </w:p>
    <w:p w14:paraId="079B307C" w14:textId="37C6EE2C" w:rsidR="002075C2" w:rsidRDefault="00652D59" w:rsidP="002F69AD">
      <w:pPr>
        <w:pStyle w:val="BodyText"/>
        <w:overflowPunct/>
        <w:autoSpaceDE/>
        <w:autoSpaceDN/>
        <w:adjustRightInd/>
        <w:jc w:val="both"/>
        <w:textAlignment w:val="auto"/>
        <w:rPr>
          <w:sz w:val="22"/>
          <w:szCs w:val="22"/>
          <w:lang w:val="en-US" w:eastAsia="zh-CN"/>
        </w:rPr>
      </w:pPr>
      <w:r w:rsidRPr="00487E64">
        <w:rPr>
          <w:sz w:val="22"/>
          <w:szCs w:val="22"/>
          <w:lang w:val="en-US" w:eastAsia="zh-CN"/>
        </w:rPr>
        <w:t xml:space="preserve">What stayed open is </w:t>
      </w:r>
      <w:r w:rsidR="00F9509B" w:rsidRPr="00487E64">
        <w:rPr>
          <w:sz w:val="22"/>
          <w:szCs w:val="22"/>
          <w:lang w:val="en-US" w:eastAsia="zh-CN"/>
        </w:rPr>
        <w:t>how to determine the</w:t>
      </w:r>
      <w:r w:rsidRPr="00487E64">
        <w:rPr>
          <w:sz w:val="22"/>
          <w:szCs w:val="22"/>
          <w:lang w:val="en-US" w:eastAsia="zh-CN"/>
        </w:rPr>
        <w:t xml:space="preserve"> first possible slot</w:t>
      </w:r>
      <w:r w:rsidR="00EA2D24">
        <w:rPr>
          <w:sz w:val="22"/>
          <w:szCs w:val="22"/>
          <w:lang w:val="en-US" w:eastAsia="zh-CN"/>
        </w:rPr>
        <w:t>/symbol</w:t>
      </w:r>
      <w:r w:rsidRPr="00487E64">
        <w:rPr>
          <w:sz w:val="22"/>
          <w:szCs w:val="22"/>
          <w:lang w:val="en-US" w:eastAsia="zh-CN"/>
        </w:rPr>
        <w:t xml:space="preserve"> that can be cross-</w:t>
      </w:r>
      <w:r w:rsidR="00EA2D24">
        <w:rPr>
          <w:sz w:val="22"/>
          <w:szCs w:val="22"/>
          <w:lang w:val="en-US" w:eastAsia="zh-CN"/>
        </w:rPr>
        <w:t xml:space="preserve">numerology </w:t>
      </w:r>
      <w:r w:rsidRPr="00487E64">
        <w:rPr>
          <w:sz w:val="22"/>
          <w:szCs w:val="22"/>
          <w:lang w:val="en-US" w:eastAsia="zh-CN"/>
        </w:rPr>
        <w:t>scheduled</w:t>
      </w:r>
      <w:r w:rsidR="00661A42" w:rsidRPr="00487E64">
        <w:rPr>
          <w:sz w:val="22"/>
          <w:szCs w:val="22"/>
          <w:lang w:val="en-US" w:eastAsia="zh-CN"/>
        </w:rPr>
        <w:t xml:space="preserve">, i.e. the </w:t>
      </w:r>
      <w:r w:rsidR="00F9509B" w:rsidRPr="00487E64">
        <w:rPr>
          <w:sz w:val="22"/>
          <w:szCs w:val="22"/>
          <w:lang w:val="en-US" w:eastAsia="zh-CN"/>
        </w:rPr>
        <w:t>slot</w:t>
      </w:r>
      <w:r w:rsidR="00661A42" w:rsidRPr="00487E64">
        <w:rPr>
          <w:sz w:val="22"/>
          <w:szCs w:val="22"/>
          <w:lang w:val="en-US" w:eastAsia="zh-CN"/>
        </w:rPr>
        <w:t xml:space="preserve"> whe</w:t>
      </w:r>
      <w:r w:rsidR="00F579A4">
        <w:rPr>
          <w:sz w:val="22"/>
          <w:szCs w:val="22"/>
          <w:lang w:val="en-US" w:eastAsia="zh-CN"/>
        </w:rPr>
        <w:t>re</w:t>
      </w:r>
      <w:r w:rsidR="00661A42" w:rsidRPr="00487E64">
        <w:rPr>
          <w:sz w:val="22"/>
          <w:szCs w:val="22"/>
          <w:lang w:val="en-US" w:eastAsia="zh-CN"/>
        </w:rPr>
        <w:t xml:space="preserve"> </w:t>
      </w:r>
      <w:r w:rsidR="00F579A4">
        <w:rPr>
          <w:sz w:val="22"/>
          <w:szCs w:val="22"/>
          <w:lang w:val="en-US" w:eastAsia="zh-CN"/>
        </w:rPr>
        <w:t>PDSCH can start the earliest</w:t>
      </w:r>
      <w:r w:rsidRPr="00487E64">
        <w:rPr>
          <w:sz w:val="22"/>
          <w:szCs w:val="22"/>
          <w:lang w:val="en-US" w:eastAsia="zh-CN"/>
        </w:rPr>
        <w:t xml:space="preserve">. </w:t>
      </w:r>
      <w:r w:rsidR="00C12401" w:rsidRPr="00487E64">
        <w:rPr>
          <w:sz w:val="22"/>
          <w:szCs w:val="22"/>
          <w:lang w:val="en-US" w:eastAsia="zh-CN"/>
        </w:rPr>
        <w:t>Assuming that cross-</w:t>
      </w:r>
      <w:r w:rsidR="00EA2D24">
        <w:rPr>
          <w:sz w:val="22"/>
          <w:szCs w:val="22"/>
          <w:lang w:val="en-US" w:eastAsia="zh-CN"/>
        </w:rPr>
        <w:t>numerology-</w:t>
      </w:r>
      <w:r w:rsidR="00C12401" w:rsidRPr="00487E64">
        <w:rPr>
          <w:sz w:val="22"/>
          <w:szCs w:val="22"/>
          <w:lang w:val="en-US" w:eastAsia="zh-CN"/>
        </w:rPr>
        <w:t>scheduled carriers would be NR-synchroniz</w:t>
      </w:r>
      <w:r w:rsidR="00526256">
        <w:rPr>
          <w:sz w:val="22"/>
          <w:szCs w:val="22"/>
          <w:lang w:val="en-US" w:eastAsia="zh-CN"/>
        </w:rPr>
        <w:t>e (having the same timing reference)</w:t>
      </w:r>
      <w:r w:rsidR="00C12401" w:rsidRPr="00487E64">
        <w:rPr>
          <w:sz w:val="22"/>
          <w:szCs w:val="22"/>
          <w:lang w:val="en-US" w:eastAsia="zh-CN"/>
        </w:rPr>
        <w:t>, there might</w:t>
      </w:r>
      <w:r w:rsidR="00C12401" w:rsidRPr="00487E64">
        <w:rPr>
          <w:color w:val="FF0000"/>
          <w:sz w:val="22"/>
          <w:szCs w:val="22"/>
          <w:lang w:val="en-US" w:eastAsia="zh-CN"/>
        </w:rPr>
        <w:t xml:space="preserve"> </w:t>
      </w:r>
      <w:r w:rsidR="00C12401" w:rsidRPr="00487E64">
        <w:rPr>
          <w:sz w:val="22"/>
          <w:szCs w:val="22"/>
          <w:lang w:val="en-US" w:eastAsia="zh-CN"/>
        </w:rPr>
        <w:t xml:space="preserve">exist one-to-many mapping </w:t>
      </w:r>
      <w:r w:rsidR="00C12401" w:rsidRPr="00434AF9">
        <w:rPr>
          <w:sz w:val="22"/>
          <w:szCs w:val="22"/>
          <w:lang w:val="en-US" w:eastAsia="zh-CN"/>
        </w:rPr>
        <w:t>between slot index in CC1 and corresponding group of slots in CC</w:t>
      </w:r>
      <w:r w:rsidR="00487E64" w:rsidRPr="00434AF9">
        <w:rPr>
          <w:sz w:val="22"/>
          <w:szCs w:val="22"/>
          <w:lang w:val="en-US" w:eastAsia="zh-CN"/>
        </w:rPr>
        <w:t>2</w:t>
      </w:r>
      <w:r w:rsidR="005E39F8">
        <w:rPr>
          <w:sz w:val="22"/>
          <w:szCs w:val="22"/>
          <w:lang w:val="en-US" w:eastAsia="zh-CN"/>
        </w:rPr>
        <w:t>. Therefore, w</w:t>
      </w:r>
      <w:r w:rsidR="002075C2">
        <w:rPr>
          <w:sz w:val="22"/>
          <w:szCs w:val="22"/>
          <w:lang w:val="en-US" w:eastAsia="zh-CN"/>
        </w:rPr>
        <w:t xml:space="preserve">e propose that </w:t>
      </w:r>
      <w:r w:rsidR="008A1DB8">
        <w:rPr>
          <w:sz w:val="22"/>
          <w:szCs w:val="22"/>
          <w:lang w:val="en-US" w:eastAsia="zh-CN"/>
        </w:rPr>
        <w:t>for slot based scheduling, the</w:t>
      </w:r>
      <w:r w:rsidR="002075C2">
        <w:rPr>
          <w:sz w:val="22"/>
          <w:szCs w:val="22"/>
          <w:lang w:val="en-US" w:eastAsia="zh-CN"/>
        </w:rPr>
        <w:t xml:space="preserve"> first schedulable slot</w:t>
      </w:r>
      <w:r w:rsidR="008A1DB8">
        <w:rPr>
          <w:sz w:val="22"/>
          <w:szCs w:val="22"/>
          <w:lang w:val="en-US" w:eastAsia="zh-CN"/>
        </w:rPr>
        <w:t xml:space="preserve"> is the slot </w:t>
      </w:r>
      <w:r w:rsidR="00CE5196">
        <w:rPr>
          <w:sz w:val="22"/>
          <w:szCs w:val="22"/>
          <w:lang w:val="en-US" w:eastAsia="zh-CN"/>
        </w:rPr>
        <w:t>sharing the</w:t>
      </w:r>
      <w:r w:rsidR="008A1DB8">
        <w:rPr>
          <w:sz w:val="22"/>
          <w:szCs w:val="22"/>
          <w:lang w:val="en-US" w:eastAsia="zh-CN"/>
        </w:rPr>
        <w:t xml:space="preserve"> starting boundary</w:t>
      </w:r>
      <w:r w:rsidR="00CE5196">
        <w:rPr>
          <w:sz w:val="22"/>
          <w:szCs w:val="22"/>
          <w:lang w:val="en-US" w:eastAsia="zh-CN"/>
        </w:rPr>
        <w:t xml:space="preserve"> with the slot where it was scheduled</w:t>
      </w:r>
      <w:r w:rsidR="008A1DB8">
        <w:rPr>
          <w:sz w:val="22"/>
          <w:szCs w:val="22"/>
          <w:lang w:val="en-US" w:eastAsia="zh-CN"/>
        </w:rPr>
        <w:t>, as shown in Figure 1 and Figure</w:t>
      </w:r>
      <w:r w:rsidR="002C4B32">
        <w:rPr>
          <w:sz w:val="22"/>
          <w:szCs w:val="22"/>
          <w:lang w:val="en-US" w:eastAsia="zh-CN"/>
        </w:rPr>
        <w:t xml:space="preserve"> </w:t>
      </w:r>
      <w:r w:rsidR="008A1DB8">
        <w:rPr>
          <w:sz w:val="22"/>
          <w:szCs w:val="22"/>
          <w:lang w:val="en-US" w:eastAsia="zh-CN"/>
        </w:rPr>
        <w:t xml:space="preserve">2. </w:t>
      </w:r>
    </w:p>
    <w:p w14:paraId="3499F78E" w14:textId="1E9A91CE" w:rsidR="008A1DB8" w:rsidRDefault="008A1DB8" w:rsidP="002F69AD">
      <w:pPr>
        <w:pStyle w:val="BodyText"/>
        <w:overflowPunct/>
        <w:autoSpaceDE/>
        <w:autoSpaceDN/>
        <w:adjustRightInd/>
        <w:jc w:val="both"/>
        <w:textAlignment w:val="auto"/>
        <w:rPr>
          <w:sz w:val="22"/>
          <w:szCs w:val="22"/>
          <w:lang w:val="en-US" w:eastAsia="zh-CN"/>
        </w:rPr>
      </w:pPr>
      <w:r w:rsidRPr="00434AF9">
        <w:rPr>
          <w:b/>
          <w:sz w:val="22"/>
          <w:szCs w:val="22"/>
          <w:lang w:val="en-US" w:eastAsia="zh-CN"/>
        </w:rPr>
        <w:t>Proposal-</w:t>
      </w:r>
      <w:r w:rsidR="00DD4447">
        <w:rPr>
          <w:b/>
          <w:sz w:val="22"/>
          <w:szCs w:val="22"/>
          <w:lang w:val="en-US" w:eastAsia="zh-CN"/>
        </w:rPr>
        <w:t>6</w:t>
      </w:r>
      <w:r w:rsidRPr="00434AF9">
        <w:rPr>
          <w:b/>
          <w:sz w:val="22"/>
          <w:szCs w:val="22"/>
          <w:lang w:val="en-US" w:eastAsia="zh-CN"/>
        </w:rPr>
        <w:t>:</w:t>
      </w:r>
      <w:r w:rsidR="00CE5196">
        <w:rPr>
          <w:b/>
          <w:sz w:val="22"/>
          <w:szCs w:val="22"/>
          <w:lang w:val="en-US" w:eastAsia="zh-CN"/>
        </w:rPr>
        <w:t xml:space="preserve"> F</w:t>
      </w:r>
      <w:r w:rsidR="00CE5196" w:rsidRPr="00DC3A03">
        <w:rPr>
          <w:b/>
          <w:sz w:val="22"/>
          <w:szCs w:val="22"/>
          <w:lang w:val="en-US" w:eastAsia="zh-CN"/>
        </w:rPr>
        <w:t>or slot-based schedu</w:t>
      </w:r>
      <w:r w:rsidR="00CE5196" w:rsidRPr="002C6181">
        <w:rPr>
          <w:b/>
          <w:sz w:val="22"/>
          <w:szCs w:val="22"/>
          <w:lang w:val="en-US" w:eastAsia="zh-CN"/>
        </w:rPr>
        <w:t xml:space="preserve">ling, </w:t>
      </w:r>
      <w:r w:rsidR="00CE5196" w:rsidRPr="00904FA9">
        <w:rPr>
          <w:b/>
          <w:sz w:val="22"/>
          <w:szCs w:val="22"/>
          <w:lang w:val="en-US" w:eastAsia="zh-CN"/>
        </w:rPr>
        <w:t>t</w:t>
      </w:r>
      <w:r w:rsidRPr="00904FA9">
        <w:rPr>
          <w:b/>
          <w:sz w:val="22"/>
          <w:szCs w:val="22"/>
          <w:lang w:val="en-US" w:eastAsia="zh-CN"/>
        </w:rPr>
        <w:t xml:space="preserve">he first </w:t>
      </w:r>
      <w:r w:rsidR="00526256">
        <w:rPr>
          <w:b/>
          <w:sz w:val="22"/>
          <w:szCs w:val="22"/>
          <w:lang w:val="en-US" w:eastAsia="zh-CN"/>
        </w:rPr>
        <w:t xml:space="preserve">cross-numerology and cross-carrier </w:t>
      </w:r>
      <w:r w:rsidRPr="00A529C8">
        <w:rPr>
          <w:b/>
          <w:sz w:val="22"/>
          <w:szCs w:val="22"/>
          <w:lang w:val="en-US" w:eastAsia="zh-CN"/>
        </w:rPr>
        <w:t xml:space="preserve">schedulable slot </w:t>
      </w:r>
      <w:r w:rsidR="00CE5196" w:rsidRPr="005C2F97">
        <w:rPr>
          <w:b/>
          <w:sz w:val="22"/>
          <w:szCs w:val="22"/>
          <w:lang w:val="en-US" w:eastAsia="zh-CN"/>
        </w:rPr>
        <w:t xml:space="preserve">is the first slot </w:t>
      </w:r>
      <w:r w:rsidR="00CE5196" w:rsidRPr="0023631B">
        <w:rPr>
          <w:b/>
          <w:sz w:val="22"/>
          <w:szCs w:val="22"/>
          <w:lang w:val="en-US" w:eastAsia="zh-CN"/>
        </w:rPr>
        <w:t xml:space="preserve">starting not earlier than the slot where it was scheduled.  </w:t>
      </w:r>
    </w:p>
    <w:p w14:paraId="74404C51" w14:textId="5935E44B" w:rsidR="002075C2" w:rsidRDefault="008A1DB8" w:rsidP="002F69AD">
      <w:pPr>
        <w:pStyle w:val="BodyText"/>
        <w:overflowPunct/>
        <w:autoSpaceDE/>
        <w:autoSpaceDN/>
        <w:adjustRightInd/>
        <w:jc w:val="both"/>
        <w:textAlignment w:val="auto"/>
        <w:rPr>
          <w:sz w:val="22"/>
          <w:szCs w:val="22"/>
          <w:lang w:val="en-US" w:eastAsia="zh-CN"/>
        </w:rPr>
      </w:pPr>
      <w:r>
        <w:rPr>
          <w:sz w:val="22"/>
          <w:szCs w:val="22"/>
          <w:lang w:val="en-US" w:eastAsia="zh-CN"/>
        </w:rPr>
        <w:t>For mini-slot/symbol</w:t>
      </w:r>
      <w:r w:rsidR="00CE5196">
        <w:rPr>
          <w:sz w:val="22"/>
          <w:szCs w:val="22"/>
          <w:lang w:val="en-US" w:eastAsia="zh-CN"/>
        </w:rPr>
        <w:t>-</w:t>
      </w:r>
      <w:r>
        <w:rPr>
          <w:sz w:val="22"/>
          <w:szCs w:val="22"/>
          <w:lang w:val="en-US" w:eastAsia="zh-CN"/>
        </w:rPr>
        <w:t>based scheduling, the first schedulable symbol could be the one aligned with the beginning of the CORSET</w:t>
      </w:r>
      <w:r w:rsidR="005E39F8">
        <w:rPr>
          <w:sz w:val="22"/>
          <w:szCs w:val="22"/>
          <w:lang w:val="en-US" w:eastAsia="zh-CN"/>
        </w:rPr>
        <w:t>, where mini-slot was scheduled</w:t>
      </w:r>
      <w:r>
        <w:rPr>
          <w:sz w:val="22"/>
          <w:szCs w:val="22"/>
          <w:lang w:val="en-US" w:eastAsia="zh-CN"/>
        </w:rPr>
        <w:t>.</w:t>
      </w:r>
    </w:p>
    <w:p w14:paraId="52EEC4D9" w14:textId="1F8DD010" w:rsidR="00CE5196" w:rsidRDefault="006203B0" w:rsidP="00CE5196">
      <w:pPr>
        <w:pStyle w:val="BodyText"/>
        <w:overflowPunct/>
        <w:autoSpaceDE/>
        <w:autoSpaceDN/>
        <w:adjustRightInd/>
        <w:jc w:val="both"/>
        <w:textAlignment w:val="auto"/>
        <w:rPr>
          <w:b/>
          <w:sz w:val="22"/>
          <w:szCs w:val="22"/>
          <w:lang w:val="en-US" w:eastAsia="zh-CN"/>
        </w:rPr>
      </w:pPr>
      <w:r>
        <w:rPr>
          <w:b/>
          <w:sz w:val="22"/>
          <w:szCs w:val="22"/>
          <w:lang w:val="en-US" w:eastAsia="zh-CN"/>
        </w:rPr>
        <w:t>Pr</w:t>
      </w:r>
      <w:r w:rsidR="00F9509B" w:rsidRPr="005E39F8">
        <w:rPr>
          <w:b/>
          <w:sz w:val="22"/>
          <w:szCs w:val="22"/>
          <w:lang w:val="en-US" w:eastAsia="zh-CN"/>
        </w:rPr>
        <w:t>oposal</w:t>
      </w:r>
      <w:r w:rsidR="00035B64" w:rsidRPr="005E39F8">
        <w:rPr>
          <w:b/>
          <w:sz w:val="22"/>
          <w:szCs w:val="22"/>
          <w:lang w:val="en-US" w:eastAsia="zh-CN"/>
        </w:rPr>
        <w:t>-</w:t>
      </w:r>
      <w:r w:rsidR="00DD4447">
        <w:rPr>
          <w:b/>
          <w:sz w:val="22"/>
          <w:szCs w:val="22"/>
          <w:lang w:val="en-US" w:eastAsia="zh-CN"/>
        </w:rPr>
        <w:t>7</w:t>
      </w:r>
      <w:r w:rsidR="00F9509B" w:rsidRPr="005E39F8">
        <w:rPr>
          <w:b/>
          <w:sz w:val="22"/>
          <w:szCs w:val="22"/>
          <w:lang w:val="en-US" w:eastAsia="zh-CN"/>
        </w:rPr>
        <w:t xml:space="preserve">: </w:t>
      </w:r>
      <w:r w:rsidR="00CE5196" w:rsidRPr="005E39F8">
        <w:rPr>
          <w:b/>
          <w:sz w:val="22"/>
          <w:szCs w:val="22"/>
          <w:lang w:val="en-US" w:eastAsia="zh-CN"/>
        </w:rPr>
        <w:t>For mini-slot/symbol-based schedul</w:t>
      </w:r>
      <w:r w:rsidR="00526256">
        <w:rPr>
          <w:b/>
          <w:sz w:val="22"/>
          <w:szCs w:val="22"/>
          <w:lang w:val="en-US" w:eastAsia="zh-CN"/>
        </w:rPr>
        <w:t xml:space="preserve">ing, the first cross-numerology and cross-carrier </w:t>
      </w:r>
      <w:r w:rsidR="00CE5196" w:rsidRPr="005E39F8">
        <w:rPr>
          <w:b/>
          <w:sz w:val="22"/>
          <w:szCs w:val="22"/>
          <w:lang w:val="en-US" w:eastAsia="zh-CN"/>
        </w:rPr>
        <w:t xml:space="preserve">schedulable symbol is the first symbol starting not earlier than the CORESET where it was scheduled.  </w:t>
      </w:r>
    </w:p>
    <w:p w14:paraId="7196366A" w14:textId="77777777" w:rsidR="009A6AFB" w:rsidRDefault="009A6AFB" w:rsidP="009A6AFB">
      <w:pPr>
        <w:pStyle w:val="BodyText"/>
        <w:overflowPunct/>
        <w:autoSpaceDE/>
        <w:autoSpaceDN/>
        <w:adjustRightInd/>
        <w:jc w:val="both"/>
        <w:textAlignment w:val="auto"/>
        <w:rPr>
          <w:b/>
          <w:sz w:val="22"/>
          <w:szCs w:val="22"/>
          <w:lang w:val="en-US" w:eastAsia="zh-CN"/>
        </w:rPr>
      </w:pPr>
    </w:p>
    <w:p w14:paraId="2AB261B1" w14:textId="77777777" w:rsidR="009A6AFB" w:rsidRPr="00C63047" w:rsidRDefault="009A6AFB" w:rsidP="009A6AFB">
      <w:pPr>
        <w:pStyle w:val="ListParagraph"/>
        <w:keepNext/>
        <w:keepLines/>
        <w:numPr>
          <w:ilvl w:val="0"/>
          <w:numId w:val="4"/>
        </w:numPr>
        <w:pBdr>
          <w:top w:val="single" w:sz="12" w:space="16"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C63047">
        <w:rPr>
          <w:rFonts w:ascii="Arial" w:eastAsia="SimSun" w:hAnsi="Arial" w:cs="Times New Roman"/>
          <w:sz w:val="36"/>
          <w:szCs w:val="20"/>
          <w:lang w:val="en-GB"/>
        </w:rPr>
        <w:t>Joint UCI design for NR CA</w:t>
      </w:r>
    </w:p>
    <w:p w14:paraId="185A8D68" w14:textId="77777777" w:rsidR="009A6AFB" w:rsidRPr="00C63047" w:rsidRDefault="009A6AFB" w:rsidP="009A6AFB">
      <w:pPr>
        <w:pStyle w:val="Heading3"/>
        <w:numPr>
          <w:ilvl w:val="0"/>
          <w:numId w:val="0"/>
        </w:numPr>
      </w:pPr>
      <w:r>
        <w:t>4.1 Determination of DL association set</w:t>
      </w:r>
    </w:p>
    <w:p w14:paraId="64EF9AE8" w14:textId="35042A66" w:rsidR="009A6AFB" w:rsidRPr="005342CB" w:rsidRDefault="009A6AFB" w:rsidP="009A6AFB">
      <w:pPr>
        <w:spacing w:after="120"/>
        <w:jc w:val="both"/>
        <w:rPr>
          <w:rFonts w:ascii="Times New Roman" w:hAnsi="Times New Roman" w:cs="Times New Roman"/>
        </w:rPr>
      </w:pPr>
      <w:r w:rsidRPr="004B1850">
        <w:rPr>
          <w:rFonts w:ascii="Times New Roman" w:hAnsi="Times New Roman" w:cs="Times New Roman"/>
        </w:rPr>
        <w:t>In this section, we focus on the joint UCI and especially on joint HARQ feedback for multiple DL carriers. In RAN1#90, it was agreed that both semi-static and dynamic HARQ ACK codebook</w:t>
      </w:r>
      <w:r w:rsidR="006203B0" w:rsidRPr="004B1850">
        <w:rPr>
          <w:rFonts w:ascii="Times New Roman" w:hAnsi="Times New Roman" w:cs="Times New Roman"/>
        </w:rPr>
        <w:t>s</w:t>
      </w:r>
      <w:r w:rsidRPr="005342CB">
        <w:rPr>
          <w:rFonts w:ascii="Times New Roman" w:hAnsi="Times New Roman" w:cs="Times New Roman"/>
        </w:rPr>
        <w:t xml:space="preserve"> are supported in NR. We start the discussion with </w:t>
      </w:r>
      <w:r w:rsidRPr="005342CB">
        <w:rPr>
          <w:rFonts w:ascii="Times New Roman" w:eastAsia="MS Mincho" w:hAnsi="Times New Roman" w:cs="Times New Roman"/>
          <w:lang w:eastAsia="ja-JP"/>
        </w:rPr>
        <w:t xml:space="preserve">the determination of DL </w:t>
      </w:r>
      <w:r w:rsidR="005D0F48">
        <w:rPr>
          <w:rFonts w:ascii="Times New Roman" w:eastAsia="MS Mincho" w:hAnsi="Times New Roman" w:cs="Times New Roman"/>
          <w:lang w:eastAsia="ja-JP"/>
        </w:rPr>
        <w:t>TTIs (slots or mini-slots)</w:t>
      </w:r>
      <w:r w:rsidR="005D0F48" w:rsidRPr="005342CB">
        <w:rPr>
          <w:rFonts w:ascii="Times New Roman" w:eastAsia="MS Mincho" w:hAnsi="Times New Roman" w:cs="Times New Roman"/>
          <w:lang w:eastAsia="ja-JP"/>
        </w:rPr>
        <w:t xml:space="preserve"> </w:t>
      </w:r>
      <w:r w:rsidRPr="005342CB">
        <w:rPr>
          <w:rFonts w:ascii="Times New Roman" w:eastAsia="MS Mincho" w:hAnsi="Times New Roman" w:cs="Times New Roman"/>
          <w:lang w:eastAsia="ja-JP"/>
        </w:rPr>
        <w:t xml:space="preserve">for which HARQ ACK is reported in a certain UL </w:t>
      </w:r>
      <w:r w:rsidR="005D0F48">
        <w:rPr>
          <w:rFonts w:ascii="Times New Roman" w:eastAsia="MS Mincho" w:hAnsi="Times New Roman" w:cs="Times New Roman"/>
          <w:lang w:eastAsia="ja-JP"/>
        </w:rPr>
        <w:t>TTI</w:t>
      </w:r>
      <w:r w:rsidR="005D0F48" w:rsidRPr="005342CB">
        <w:rPr>
          <w:rFonts w:ascii="Times New Roman" w:eastAsia="MS Mincho" w:hAnsi="Times New Roman" w:cs="Times New Roman"/>
          <w:lang w:eastAsia="ja-JP"/>
        </w:rPr>
        <w:t xml:space="preserve"> </w:t>
      </w:r>
      <w:r w:rsidRPr="005342CB">
        <w:rPr>
          <w:rFonts w:ascii="Times New Roman" w:eastAsia="MS Mincho" w:hAnsi="Times New Roman" w:cs="Times New Roman"/>
          <w:lang w:eastAsia="ja-JP"/>
        </w:rPr>
        <w:t>(aka DL association set), which is relevant for both semi-static and dynamic HARQ ACK codebook.</w:t>
      </w:r>
    </w:p>
    <w:p w14:paraId="5716A519" w14:textId="1588FDFA" w:rsidR="009A6AFB" w:rsidRDefault="009A6AFB" w:rsidP="009A6AFB">
      <w:pPr>
        <w:spacing w:after="120"/>
        <w:jc w:val="both"/>
        <w:rPr>
          <w:rFonts w:ascii="Times New Roman" w:eastAsia="MS Mincho" w:hAnsi="Times New Roman" w:cs="Times New Roman"/>
          <w:lang w:eastAsia="ja-JP"/>
        </w:rPr>
      </w:pPr>
      <w:r w:rsidRPr="005342CB">
        <w:rPr>
          <w:rFonts w:ascii="Times New Roman" w:hAnsi="Times New Roman" w:cs="Times New Roman"/>
        </w:rPr>
        <w:t>In LTE,</w:t>
      </w:r>
      <w:r w:rsidRPr="005342CB">
        <w:rPr>
          <w:rFonts w:ascii="Times New Roman" w:eastAsia="MS Mincho" w:hAnsi="Times New Roman" w:cs="Times New Roman"/>
          <w:lang w:eastAsia="ja-JP"/>
        </w:rPr>
        <w:t xml:space="preserve"> the timing relationship between DL data reception and corresponding acknowledgement is predetermined in the specification. In LTE TDD, the HARQ ACK timing as well as the DL association set is determined based on the subframe number and used UL/DL configuration. </w:t>
      </w:r>
    </w:p>
    <w:p w14:paraId="43841B2A" w14:textId="0A15EFE7" w:rsidR="003110F1" w:rsidRPr="00EC5DC1" w:rsidRDefault="003110F1" w:rsidP="009A6AFB">
      <w:pPr>
        <w:spacing w:after="120"/>
        <w:jc w:val="both"/>
        <w:rPr>
          <w:rFonts w:ascii="Times New Roman" w:hAnsi="Times New Roman" w:cs="Times New Roman"/>
          <w:b/>
          <w:u w:val="single"/>
        </w:rPr>
      </w:pPr>
      <w:r w:rsidRPr="00EC5DC1">
        <w:rPr>
          <w:rFonts w:ascii="Times New Roman" w:hAnsi="Times New Roman" w:cs="Times New Roman"/>
          <w:b/>
          <w:u w:val="single"/>
        </w:rPr>
        <w:t>On DL association set in NR CA</w:t>
      </w:r>
    </w:p>
    <w:p w14:paraId="1AC8A2BA" w14:textId="26AB493F" w:rsidR="009A6AFB" w:rsidRPr="004B1850" w:rsidRDefault="009A6AFB" w:rsidP="009A6AFB">
      <w:pPr>
        <w:spacing w:after="120"/>
        <w:jc w:val="both"/>
        <w:rPr>
          <w:rFonts w:ascii="Times New Roman" w:hAnsi="Times New Roman" w:cs="Times New Roman"/>
        </w:rPr>
      </w:pPr>
      <w:r w:rsidRPr="00995A5F">
        <w:rPr>
          <w:rFonts w:ascii="Times New Roman" w:hAnsi="Times New Roman" w:cs="Times New Roman"/>
        </w:rPr>
        <w:lastRenderedPageBreak/>
        <w:t xml:space="preserve">When operating </w:t>
      </w:r>
      <w:r w:rsidR="006203B0" w:rsidRPr="00995A5F">
        <w:rPr>
          <w:rFonts w:ascii="Times New Roman" w:hAnsi="Times New Roman" w:cs="Times New Roman"/>
        </w:rPr>
        <w:t xml:space="preserve">NR </w:t>
      </w:r>
      <w:r w:rsidRPr="00995A5F">
        <w:rPr>
          <w:rFonts w:ascii="Times New Roman" w:hAnsi="Times New Roman" w:cs="Times New Roman"/>
        </w:rPr>
        <w:t xml:space="preserve">CA with a single CC for UCI and multiple DL CCs </w:t>
      </w:r>
      <w:r w:rsidR="003110F1">
        <w:rPr>
          <w:rFonts w:ascii="Times New Roman" w:hAnsi="Times New Roman" w:cs="Times New Roman"/>
        </w:rPr>
        <w:t>with</w:t>
      </w:r>
      <w:r w:rsidRPr="00995A5F">
        <w:rPr>
          <w:rFonts w:ascii="Times New Roman" w:hAnsi="Times New Roman" w:cs="Times New Roman"/>
        </w:rPr>
        <w:t xml:space="preserve"> different numerologies, they can also have different (configured) UE minimum processing times for DL slot processing. This means that HARQ ACK for DL slots transmitted earlier</w:t>
      </w:r>
      <w:r w:rsidRPr="00A370FB">
        <w:rPr>
          <w:rFonts w:ascii="Times New Roman" w:hAnsi="Times New Roman" w:cs="Times New Roman"/>
        </w:rPr>
        <w:t xml:space="preserve"> may be reported later than for a DL slot transmitted later but on DL CC with shorter minimum processing time. Forcing the same DL association set on both DL CCs will increase latency for DL CC with shorter processing time</w:t>
      </w:r>
      <w:r w:rsidRPr="00995A5F">
        <w:rPr>
          <w:rFonts w:ascii="Times New Roman" w:hAnsi="Times New Roman" w:cs="Times New Roman"/>
        </w:rPr>
        <w:t xml:space="preserve">. </w:t>
      </w:r>
      <w:r w:rsidR="00BD0974">
        <w:rPr>
          <w:rFonts w:ascii="Times New Roman" w:hAnsi="Times New Roman" w:cs="Times New Roman"/>
        </w:rPr>
        <w:t xml:space="preserve">This is illustrated in Figure 3 showing DL association sets in different colors (yellow, orange, brown) for short PUCCH transmission (green). In Figure 3a, DL association sets are aligned across carriers, whereas in Figure 3 DL association sets are separately for carriers with different minimum processing times. </w:t>
      </w:r>
      <w:r w:rsidR="00053430">
        <w:rPr>
          <w:rFonts w:ascii="Times New Roman" w:hAnsi="Times New Roman" w:cs="Times New Roman"/>
        </w:rPr>
        <w:t>For 60 kHz SCS SCell, the average time from the end of PDSCH to the start of PUCCH is 2.30 ms in Figure 3a and 1.05 ms in Figure 3b.</w:t>
      </w:r>
      <w:r w:rsidR="00BD0974">
        <w:rPr>
          <w:rFonts w:ascii="Times New Roman" w:hAnsi="Times New Roman" w:cs="Times New Roman"/>
        </w:rPr>
        <w:t xml:space="preserve"> In the </w:t>
      </w:r>
      <w:r w:rsidR="008061FD">
        <w:rPr>
          <w:rFonts w:ascii="Times New Roman" w:hAnsi="Times New Roman" w:cs="Times New Roman"/>
        </w:rPr>
        <w:t>example</w:t>
      </w:r>
      <w:r w:rsidR="00BD0974">
        <w:rPr>
          <w:rFonts w:ascii="Times New Roman" w:hAnsi="Times New Roman" w:cs="Times New Roman"/>
        </w:rPr>
        <w:t>, minimum processing time of 1 slot + 0.25 ms is assumed for UE, rounded upwards to align with slot structure.</w:t>
      </w:r>
      <w:r w:rsidRPr="00995A5F">
        <w:rPr>
          <w:rFonts w:ascii="Times New Roman" w:hAnsi="Times New Roman" w:cs="Times New Roman"/>
        </w:rPr>
        <w:t xml:space="preserve"> Further, DL slots can have different durations and </w:t>
      </w:r>
      <w:r w:rsidRPr="00A370FB">
        <w:rPr>
          <w:rFonts w:ascii="Times New Roman" w:eastAsia="MS Mincho" w:hAnsi="Times New Roman" w:cs="Times New Roman"/>
          <w:lang w:eastAsia="ja-JP"/>
        </w:rPr>
        <w:t>mini-slots may be used on some of the DL CCs. In other words, PDSCH TTIs for which HARQ ACKs are reported are not time aligned</w:t>
      </w:r>
      <w:r w:rsidR="000F5F08">
        <w:rPr>
          <w:rFonts w:ascii="Times New Roman" w:eastAsia="MS Mincho" w:hAnsi="Times New Roman" w:cs="Times New Roman"/>
          <w:lang w:eastAsia="ja-JP"/>
        </w:rPr>
        <w:t xml:space="preserve"> (due to different minimum processing time)</w:t>
      </w:r>
      <w:r w:rsidRPr="00A370FB">
        <w:rPr>
          <w:rFonts w:ascii="Times New Roman" w:eastAsia="MS Mincho" w:hAnsi="Times New Roman" w:cs="Times New Roman"/>
          <w:lang w:eastAsia="ja-JP"/>
        </w:rPr>
        <w:t xml:space="preserve"> across DL CCs</w:t>
      </w:r>
      <w:r w:rsidR="003110F1">
        <w:rPr>
          <w:rFonts w:ascii="Times New Roman" w:eastAsia="MS Mincho" w:hAnsi="Times New Roman" w:cs="Times New Roman"/>
          <w:lang w:eastAsia="ja-JP"/>
        </w:rPr>
        <w:t xml:space="preserve"> in the example in Figure 3b</w:t>
      </w:r>
      <w:r w:rsidRPr="00A370FB">
        <w:rPr>
          <w:rFonts w:ascii="Times New Roman" w:eastAsia="MS Mincho" w:hAnsi="Times New Roman" w:cs="Times New Roman"/>
          <w:lang w:eastAsia="ja-JP"/>
        </w:rPr>
        <w:t xml:space="preserve">. </w:t>
      </w:r>
      <w:r w:rsidR="000F5F08">
        <w:rPr>
          <w:rFonts w:ascii="Times New Roman" w:eastAsia="MS Mincho" w:hAnsi="Times New Roman" w:cs="Times New Roman"/>
          <w:lang w:eastAsia="ja-JP"/>
        </w:rPr>
        <w:t>Furthermore</w:t>
      </w:r>
      <w:r w:rsidRPr="00A370FB">
        <w:rPr>
          <w:rFonts w:ascii="Times New Roman" w:eastAsia="MS Mincho" w:hAnsi="Times New Roman" w:cs="Times New Roman"/>
          <w:lang w:eastAsia="ja-JP"/>
        </w:rPr>
        <w:t xml:space="preserve">, there can be multiple </w:t>
      </w:r>
      <w:r w:rsidRPr="005342CB">
        <w:rPr>
          <w:rFonts w:ascii="Times New Roman" w:eastAsia="MS Mincho" w:hAnsi="Times New Roman" w:cs="Times New Roman"/>
          <w:lang w:eastAsia="ja-JP"/>
        </w:rPr>
        <w:t xml:space="preserve">PDSCH TTIs on one DL CC while there is only one PDSCH </w:t>
      </w:r>
      <w:r w:rsidR="003B24A9" w:rsidRPr="005342CB">
        <w:rPr>
          <w:rFonts w:ascii="Times New Roman" w:eastAsia="MS Mincho" w:hAnsi="Times New Roman" w:cs="Times New Roman"/>
          <w:lang w:eastAsia="ja-JP"/>
        </w:rPr>
        <w:t>TTI</w:t>
      </w:r>
      <w:r w:rsidRPr="004B1850">
        <w:rPr>
          <w:rFonts w:ascii="Times New Roman" w:eastAsia="MS Mincho" w:hAnsi="Times New Roman" w:cs="Times New Roman"/>
          <w:lang w:eastAsia="ja-JP"/>
        </w:rPr>
        <w:t xml:space="preserve"> on another DL CC.</w:t>
      </w:r>
      <w:r w:rsidRPr="004B1850">
        <w:rPr>
          <w:rFonts w:ascii="Times New Roman" w:hAnsi="Times New Roman" w:cs="Times New Roman"/>
        </w:rPr>
        <w:t xml:space="preserve"> </w:t>
      </w:r>
      <w:r w:rsidR="000F5F08">
        <w:rPr>
          <w:rFonts w:ascii="Times New Roman" w:hAnsi="Times New Roman" w:cs="Times New Roman"/>
        </w:rPr>
        <w:t>Therefore, NR</w:t>
      </w:r>
      <w:r w:rsidRPr="004B1850">
        <w:rPr>
          <w:rFonts w:ascii="Times New Roman" w:hAnsi="Times New Roman" w:cs="Times New Roman"/>
        </w:rPr>
        <w:t xml:space="preserve"> requires flexible HARQ feedback timing and DL association set determination.  </w:t>
      </w:r>
    </w:p>
    <w:p w14:paraId="1E17699A" w14:textId="08DD3106" w:rsidR="009A6AFB" w:rsidRPr="004B1850" w:rsidRDefault="009A6AFB" w:rsidP="009A6AFB">
      <w:pPr>
        <w:jc w:val="both"/>
        <w:rPr>
          <w:rFonts w:ascii="Times New Roman" w:hAnsi="Times New Roman" w:cs="Times New Roman"/>
          <w:b/>
        </w:rPr>
      </w:pPr>
      <w:r w:rsidRPr="004B1850">
        <w:rPr>
          <w:rFonts w:ascii="Times New Roman" w:hAnsi="Times New Roman" w:cs="Times New Roman"/>
          <w:b/>
        </w:rPr>
        <w:t xml:space="preserve">Observation-2: Latency can be reduced when DL component carriers with different UE minimum processing times use different DL association sets. </w:t>
      </w:r>
    </w:p>
    <w:p w14:paraId="207E3635" w14:textId="2B1B51F3" w:rsidR="004B1850" w:rsidRDefault="004B1850" w:rsidP="004B1850">
      <w:pPr>
        <w:pStyle w:val="BodyText"/>
        <w:rPr>
          <w:rFonts w:eastAsia="MS Mincho" w:hAnsi="Times New Roman" w:cs="Times New Roman"/>
          <w:sz w:val="22"/>
          <w:szCs w:val="22"/>
          <w:lang w:eastAsia="ja-JP"/>
        </w:rPr>
      </w:pPr>
      <w:r w:rsidRPr="004B1850">
        <w:rPr>
          <w:noProof/>
        </w:rPr>
        <w:drawing>
          <wp:inline distT="0" distB="0" distL="0" distR="0" wp14:anchorId="2C390CA4" wp14:editId="58EA2F09">
            <wp:extent cx="6120765" cy="1219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219308"/>
                    </a:xfrm>
                    <a:prstGeom prst="rect">
                      <a:avLst/>
                    </a:prstGeom>
                    <a:noFill/>
                    <a:ln>
                      <a:noFill/>
                    </a:ln>
                  </pic:spPr>
                </pic:pic>
              </a:graphicData>
            </a:graphic>
          </wp:inline>
        </w:drawing>
      </w:r>
    </w:p>
    <w:p w14:paraId="52239D69" w14:textId="2B7C4B8E" w:rsidR="004B1850" w:rsidRDefault="004B1850" w:rsidP="004B1850">
      <w:pPr>
        <w:pStyle w:val="BodyText"/>
        <w:jc w:val="center"/>
        <w:rPr>
          <w:rFonts w:eastAsia="MS Mincho" w:hAnsi="Times New Roman" w:cs="Times New Roman"/>
          <w:sz w:val="22"/>
          <w:szCs w:val="22"/>
          <w:lang w:eastAsia="ja-JP"/>
        </w:rPr>
      </w:pPr>
      <w:r>
        <w:rPr>
          <w:rFonts w:eastAsia="MS Mincho" w:hAnsi="Times New Roman" w:cs="Times New Roman"/>
          <w:sz w:val="22"/>
          <w:szCs w:val="22"/>
          <w:lang w:eastAsia="ja-JP"/>
        </w:rPr>
        <w:t>a)</w:t>
      </w:r>
    </w:p>
    <w:p w14:paraId="5A6B5017" w14:textId="54D20C92" w:rsidR="004B1850" w:rsidRDefault="004B1850" w:rsidP="009A6AFB">
      <w:pPr>
        <w:pStyle w:val="BodyText"/>
        <w:jc w:val="both"/>
        <w:rPr>
          <w:rFonts w:eastAsia="MS Mincho" w:hAnsi="Times New Roman" w:cs="Times New Roman"/>
          <w:sz w:val="22"/>
          <w:szCs w:val="22"/>
          <w:lang w:eastAsia="ja-JP"/>
        </w:rPr>
      </w:pPr>
      <w:r w:rsidRPr="004B1850">
        <w:rPr>
          <w:noProof/>
        </w:rPr>
        <w:drawing>
          <wp:inline distT="0" distB="0" distL="0" distR="0" wp14:anchorId="577139A8" wp14:editId="0109175D">
            <wp:extent cx="6120765" cy="12596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259683"/>
                    </a:xfrm>
                    <a:prstGeom prst="rect">
                      <a:avLst/>
                    </a:prstGeom>
                    <a:noFill/>
                    <a:ln>
                      <a:noFill/>
                    </a:ln>
                  </pic:spPr>
                </pic:pic>
              </a:graphicData>
            </a:graphic>
          </wp:inline>
        </w:drawing>
      </w:r>
    </w:p>
    <w:p w14:paraId="19392950" w14:textId="5D629551" w:rsidR="004B1850" w:rsidRDefault="004B1850" w:rsidP="004B1850">
      <w:pPr>
        <w:pStyle w:val="BodyText"/>
        <w:jc w:val="center"/>
        <w:rPr>
          <w:rFonts w:eastAsia="MS Mincho" w:hAnsi="Times New Roman" w:cs="Times New Roman"/>
          <w:sz w:val="22"/>
          <w:szCs w:val="22"/>
          <w:lang w:eastAsia="ja-JP"/>
        </w:rPr>
      </w:pPr>
      <w:r>
        <w:rPr>
          <w:rFonts w:eastAsia="MS Mincho" w:hAnsi="Times New Roman" w:cs="Times New Roman"/>
          <w:sz w:val="22"/>
          <w:szCs w:val="22"/>
          <w:lang w:eastAsia="ja-JP"/>
        </w:rPr>
        <w:t>b)</w:t>
      </w:r>
    </w:p>
    <w:p w14:paraId="2A073CC3" w14:textId="197F646A" w:rsidR="004B1850" w:rsidRDefault="004B1850" w:rsidP="004B1850">
      <w:pPr>
        <w:pStyle w:val="Caption"/>
        <w:jc w:val="center"/>
        <w:rPr>
          <w:rFonts w:eastAsia="MS Mincho" w:hAnsi="Times New Roman" w:cs="Times New Roman"/>
          <w:lang w:eastAsia="ja-JP"/>
        </w:rPr>
      </w:pPr>
      <w:r>
        <w:t xml:space="preserve">Figure </w:t>
      </w:r>
      <w:r w:rsidR="00995A5F" w:rsidRPr="00995A5F">
        <w:rPr>
          <w:lang w:val="en-US"/>
        </w:rPr>
        <w:t>3</w:t>
      </w:r>
      <w:r w:rsidRPr="00995A5F">
        <w:rPr>
          <w:lang w:val="en-US"/>
        </w:rPr>
        <w:t>.</w:t>
      </w:r>
      <w:r w:rsidR="00995A5F" w:rsidRPr="00995A5F">
        <w:rPr>
          <w:lang w:val="en-US"/>
        </w:rPr>
        <w:t xml:space="preserve"> DL association sets when a) aligned to be the same across carriers b) determined separately for carriers with different minimum processing times.</w:t>
      </w:r>
      <w:r w:rsidRPr="00995A5F">
        <w:rPr>
          <w:lang w:val="en-US"/>
        </w:rPr>
        <w:t xml:space="preserve"> </w:t>
      </w:r>
    </w:p>
    <w:p w14:paraId="033AFCFC" w14:textId="420455C9" w:rsidR="009A6AFB" w:rsidRPr="00A631BA" w:rsidRDefault="009A6AFB" w:rsidP="004B1850">
      <w:pPr>
        <w:pStyle w:val="BodyText"/>
        <w:spacing w:line="259" w:lineRule="auto"/>
        <w:jc w:val="both"/>
        <w:rPr>
          <w:rFonts w:hAnsi="Times New Roman" w:cs="Times New Roman"/>
          <w:sz w:val="22"/>
          <w:szCs w:val="22"/>
        </w:rPr>
      </w:pPr>
      <w:r w:rsidRPr="00A631BA">
        <w:rPr>
          <w:rFonts w:eastAsia="MS Mincho" w:hAnsi="Times New Roman" w:cs="Times New Roman"/>
          <w:sz w:val="22"/>
          <w:szCs w:val="22"/>
          <w:lang w:eastAsia="ja-JP"/>
        </w:rPr>
        <w:t>F</w:t>
      </w:r>
      <w:r w:rsidRPr="00A631BA">
        <w:rPr>
          <w:rFonts w:hAnsi="Times New Roman" w:cs="Times New Roman"/>
          <w:sz w:val="22"/>
          <w:szCs w:val="22"/>
        </w:rPr>
        <w:t>lexible HARQ feedback timing and DL association set determination is required even for</w:t>
      </w:r>
      <w:r w:rsidR="000F5F08">
        <w:rPr>
          <w:rFonts w:hAnsi="Times New Roman" w:cs="Times New Roman"/>
          <w:sz w:val="22"/>
          <w:szCs w:val="22"/>
        </w:rPr>
        <w:t xml:space="preserve"> a</w:t>
      </w:r>
      <w:r w:rsidRPr="00A631BA">
        <w:rPr>
          <w:rFonts w:hAnsi="Times New Roman" w:cs="Times New Roman"/>
          <w:sz w:val="22"/>
          <w:szCs w:val="22"/>
        </w:rPr>
        <w:t xml:space="preserve"> single</w:t>
      </w:r>
      <w:r w:rsidRPr="00A631BA">
        <w:rPr>
          <w:rFonts w:eastAsia="MS Mincho" w:hAnsi="Times New Roman" w:cs="Times New Roman"/>
          <w:sz w:val="22"/>
          <w:szCs w:val="22"/>
          <w:lang w:val="en-US" w:eastAsia="ja-JP"/>
        </w:rPr>
        <w:t xml:space="preserve"> NR carrier</w:t>
      </w:r>
      <w:r w:rsidR="000F5F08">
        <w:rPr>
          <w:rFonts w:eastAsia="MS Mincho" w:hAnsi="Times New Roman" w:cs="Times New Roman"/>
          <w:sz w:val="22"/>
          <w:szCs w:val="22"/>
          <w:lang w:val="en-US" w:eastAsia="ja-JP"/>
        </w:rPr>
        <w:t>,</w:t>
      </w:r>
      <w:r w:rsidRPr="00A631BA">
        <w:rPr>
          <w:rFonts w:eastAsia="MS Mincho" w:hAnsi="Times New Roman" w:cs="Times New Roman"/>
          <w:sz w:val="22"/>
          <w:szCs w:val="22"/>
          <w:lang w:val="en-US" w:eastAsia="ja-JP"/>
        </w:rPr>
        <w:t xml:space="preserve"> as highly flexible UL/DL</w:t>
      </w:r>
      <w:r w:rsidR="000F5F08">
        <w:rPr>
          <w:rFonts w:eastAsia="MS Mincho" w:hAnsi="Times New Roman" w:cs="Times New Roman"/>
          <w:sz w:val="22"/>
          <w:szCs w:val="22"/>
          <w:lang w:val="en-US" w:eastAsia="ja-JP"/>
        </w:rPr>
        <w:t xml:space="preserve"> TDD</w:t>
      </w:r>
      <w:r w:rsidRPr="00A631BA">
        <w:rPr>
          <w:rFonts w:eastAsia="MS Mincho" w:hAnsi="Times New Roman" w:cs="Times New Roman"/>
          <w:sz w:val="22"/>
          <w:szCs w:val="22"/>
          <w:lang w:val="en-US" w:eastAsia="ja-JP"/>
        </w:rPr>
        <w:t xml:space="preserve"> configuration efficiently adapting air interface to the variations on traffic is desired. For the single carrier, the determination of HARQ feedback can be based on a simple set of rules using few parameters such as the indicated timing between DL data and associated HARQ ACK as well as the minimum processing time between the DL data reception and transmission of associated HARQ ACK as inputs to the determination as discussed in</w:t>
      </w:r>
      <w:r w:rsidR="0092052D">
        <w:rPr>
          <w:rFonts w:eastAsia="MS Mincho" w:hAnsi="Times New Roman" w:cs="Times New Roman"/>
          <w:sz w:val="22"/>
          <w:szCs w:val="22"/>
          <w:lang w:val="en-US" w:eastAsia="ja-JP"/>
        </w:rPr>
        <w:t xml:space="preserve"> </w:t>
      </w:r>
      <w:r w:rsidR="0092052D">
        <w:rPr>
          <w:rFonts w:eastAsia="MS Mincho" w:hAnsi="Times New Roman" w:cs="Times New Roman"/>
          <w:sz w:val="22"/>
          <w:szCs w:val="22"/>
          <w:highlight w:val="yellow"/>
          <w:lang w:val="en-US" w:eastAsia="ja-JP"/>
        </w:rPr>
        <w:fldChar w:fldCharType="begin"/>
      </w:r>
      <w:r w:rsidR="0092052D">
        <w:rPr>
          <w:rFonts w:eastAsia="MS Mincho" w:hAnsi="Times New Roman" w:cs="Times New Roman"/>
          <w:sz w:val="22"/>
          <w:szCs w:val="22"/>
          <w:lang w:val="en-US" w:eastAsia="ja-JP"/>
        </w:rPr>
        <w:instrText xml:space="preserve"> REF _Ref492889311 \n </w:instrText>
      </w:r>
      <w:r w:rsidR="0092052D">
        <w:rPr>
          <w:rFonts w:eastAsia="MS Mincho" w:hAnsi="Times New Roman" w:cs="Times New Roman"/>
          <w:sz w:val="22"/>
          <w:szCs w:val="22"/>
          <w:highlight w:val="yellow"/>
          <w:lang w:val="en-US" w:eastAsia="ja-JP"/>
        </w:rPr>
        <w:fldChar w:fldCharType="separate"/>
      </w:r>
      <w:r w:rsidR="00EC5DC1">
        <w:rPr>
          <w:rFonts w:eastAsia="MS Mincho" w:hAnsi="Times New Roman" w:cs="Times New Roman"/>
          <w:sz w:val="22"/>
          <w:szCs w:val="22"/>
          <w:lang w:val="en-US" w:eastAsia="ja-JP"/>
        </w:rPr>
        <w:t>[2]</w:t>
      </w:r>
      <w:r w:rsidR="0092052D">
        <w:rPr>
          <w:rFonts w:eastAsia="MS Mincho" w:hAnsi="Times New Roman" w:cs="Times New Roman"/>
          <w:sz w:val="22"/>
          <w:szCs w:val="22"/>
          <w:highlight w:val="yellow"/>
          <w:lang w:val="en-US" w:eastAsia="ja-JP"/>
        </w:rPr>
        <w:fldChar w:fldCharType="end"/>
      </w:r>
      <w:r w:rsidRPr="00A631BA">
        <w:rPr>
          <w:rFonts w:eastAsia="MS Mincho" w:hAnsi="Times New Roman" w:cs="Times New Roman"/>
          <w:sz w:val="22"/>
          <w:szCs w:val="22"/>
          <w:lang w:val="en-US" w:eastAsia="ja-JP"/>
        </w:rPr>
        <w:t>.</w:t>
      </w:r>
    </w:p>
    <w:p w14:paraId="09080054" w14:textId="63A34360" w:rsidR="009A6AFB" w:rsidRPr="005342CB" w:rsidRDefault="009A6AFB" w:rsidP="009A6AFB">
      <w:pPr>
        <w:spacing w:after="120"/>
        <w:jc w:val="both"/>
        <w:rPr>
          <w:rFonts w:ascii="Times New Roman" w:hAnsi="Times New Roman" w:cs="Times New Roman"/>
        </w:rPr>
      </w:pPr>
      <w:r w:rsidRPr="004B1850">
        <w:rPr>
          <w:rFonts w:ascii="Times New Roman" w:eastAsia="MS Mincho" w:hAnsi="Times New Roman" w:cs="Times New Roman"/>
          <w:lang w:eastAsia="ja-JP"/>
        </w:rPr>
        <w:t xml:space="preserve">Of course, the determination of </w:t>
      </w:r>
      <w:r w:rsidRPr="004B1850">
        <w:rPr>
          <w:rFonts w:ascii="Times New Roman" w:hAnsi="Times New Roman" w:cs="Times New Roman"/>
        </w:rPr>
        <w:t>HARQ feedback timing and DL association set can be</w:t>
      </w:r>
      <w:r w:rsidRPr="004B1850">
        <w:rPr>
          <w:rFonts w:ascii="Times New Roman" w:eastAsia="MS Mincho" w:hAnsi="Times New Roman" w:cs="Times New Roman"/>
          <w:lang w:eastAsia="ja-JP"/>
        </w:rPr>
        <w:t xml:space="preserve"> semi-static in the cases where the timing relationship between DL data and corresponding HARQ ACK is </w:t>
      </w:r>
      <w:r w:rsidRPr="005342CB">
        <w:rPr>
          <w:rFonts w:ascii="Times New Roman" w:eastAsia="MS Mincho" w:hAnsi="Times New Roman" w:cs="Times New Roman"/>
          <w:lang w:eastAsia="ja-JP"/>
        </w:rPr>
        <w:t xml:space="preserve">determined semi-statically for all involved DL CCs and all DL CCs are of the same numerology. In the case that the timing between DL data and associated HARQ ACK is indicated dynamically by L1 signaling, </w:t>
      </w:r>
      <w:r w:rsidRPr="005342CB">
        <w:rPr>
          <w:rFonts w:ascii="Times New Roman" w:hAnsi="Times New Roman" w:cs="Times New Roman"/>
        </w:rPr>
        <w:t xml:space="preserve">DL association set </w:t>
      </w:r>
      <w:r w:rsidRPr="005342CB">
        <w:rPr>
          <w:rFonts w:ascii="Times New Roman" w:eastAsia="MS Mincho" w:hAnsi="Times New Roman" w:cs="Times New Roman"/>
          <w:lang w:eastAsia="ja-JP"/>
        </w:rPr>
        <w:t xml:space="preserve">also </w:t>
      </w:r>
      <w:r w:rsidRPr="005342CB">
        <w:rPr>
          <w:rFonts w:ascii="Times New Roman" w:hAnsi="Times New Roman" w:cs="Times New Roman"/>
        </w:rPr>
        <w:t>need</w:t>
      </w:r>
      <w:r w:rsidR="006203B0" w:rsidRPr="005342CB">
        <w:rPr>
          <w:rFonts w:ascii="Times New Roman" w:hAnsi="Times New Roman" w:cs="Times New Roman"/>
        </w:rPr>
        <w:t>s</w:t>
      </w:r>
      <w:r w:rsidRPr="005342CB">
        <w:rPr>
          <w:rFonts w:ascii="Times New Roman" w:hAnsi="Times New Roman" w:cs="Times New Roman"/>
        </w:rPr>
        <w:t xml:space="preserve"> to be determined dynamically. </w:t>
      </w:r>
    </w:p>
    <w:p w14:paraId="13015383" w14:textId="785E0D90" w:rsidR="009A6AFB" w:rsidRPr="00995A5F" w:rsidRDefault="009A6AFB" w:rsidP="009A6AFB">
      <w:pPr>
        <w:spacing w:after="60"/>
        <w:jc w:val="both"/>
        <w:rPr>
          <w:rFonts w:ascii="Times New Roman" w:hAnsi="Times New Roman" w:cs="Times New Roman"/>
        </w:rPr>
      </w:pPr>
      <w:r w:rsidRPr="00995A5F">
        <w:rPr>
          <w:rFonts w:ascii="Times New Roman" w:hAnsi="Times New Roman" w:cs="Times New Roman"/>
        </w:rPr>
        <w:lastRenderedPageBreak/>
        <w:t>An example on the dynamic determination of DL association set for single NR carri</w:t>
      </w:r>
      <w:r w:rsidR="00995A5F">
        <w:rPr>
          <w:rFonts w:ascii="Times New Roman" w:hAnsi="Times New Roman" w:cs="Times New Roman"/>
        </w:rPr>
        <w:t>er is illustrated in Figure 4</w:t>
      </w:r>
      <w:r w:rsidRPr="00995A5F">
        <w:rPr>
          <w:rFonts w:ascii="Times New Roman" w:hAnsi="Times New Roman" w:cs="Times New Roman"/>
        </w:rPr>
        <w:t>. The DL association set for a HARQ feedback to be transmitted on certain slot can be determined based on couple of simple rules:</w:t>
      </w:r>
    </w:p>
    <w:p w14:paraId="34ED8D84" w14:textId="57E3ABBB" w:rsidR="009A6AFB" w:rsidRPr="00995A5F" w:rsidRDefault="009A6AFB" w:rsidP="009A6AFB">
      <w:pPr>
        <w:pStyle w:val="ListParagraph"/>
        <w:numPr>
          <w:ilvl w:val="0"/>
          <w:numId w:val="16"/>
        </w:numPr>
        <w:spacing w:after="60" w:line="256" w:lineRule="auto"/>
        <w:jc w:val="both"/>
        <w:rPr>
          <w:rFonts w:ascii="Times New Roman" w:hAnsi="Times New Roman" w:cs="Times New Roman"/>
        </w:rPr>
      </w:pPr>
      <w:r w:rsidRPr="00995A5F">
        <w:rPr>
          <w:rFonts w:ascii="Times New Roman" w:hAnsi="Times New Roman" w:cs="Times New Roman"/>
        </w:rPr>
        <w:t>DL association set starts from a slot where a PDSCH is associated to UCI transmission in the certain slot for</w:t>
      </w:r>
      <w:r w:rsidR="00995A5F">
        <w:rPr>
          <w:rFonts w:ascii="Times New Roman" w:hAnsi="Times New Roman" w:cs="Times New Roman"/>
        </w:rPr>
        <w:t xml:space="preserve"> the first time. In the Figure 4</w:t>
      </w:r>
      <w:r w:rsidRPr="00995A5F">
        <w:rPr>
          <w:rFonts w:ascii="Times New Roman" w:hAnsi="Times New Roman" w:cs="Times New Roman"/>
        </w:rPr>
        <w:t>, this is the slot #3 for the UCI transmitted in slot #7.</w:t>
      </w:r>
    </w:p>
    <w:p w14:paraId="185ACFBE" w14:textId="217D3A26" w:rsidR="009A6AFB" w:rsidRPr="00995A5F" w:rsidRDefault="009A6AFB" w:rsidP="009A6AFB">
      <w:pPr>
        <w:pStyle w:val="ListParagraph"/>
        <w:numPr>
          <w:ilvl w:val="0"/>
          <w:numId w:val="16"/>
        </w:numPr>
        <w:spacing w:after="60" w:line="256" w:lineRule="auto"/>
        <w:jc w:val="both"/>
        <w:rPr>
          <w:rFonts w:ascii="Times New Roman" w:hAnsi="Times New Roman" w:cs="Times New Roman"/>
        </w:rPr>
      </w:pPr>
      <w:r w:rsidRPr="00995A5F">
        <w:rPr>
          <w:rFonts w:ascii="Times New Roman" w:hAnsi="Times New Roman" w:cs="Times New Roman"/>
        </w:rPr>
        <w:t>The last slot of the DL association set is determined by the UE minimum (configured) processing time so that UE can prepa</w:t>
      </w:r>
      <w:r w:rsidR="00995A5F">
        <w:rPr>
          <w:rFonts w:ascii="Times New Roman" w:hAnsi="Times New Roman" w:cs="Times New Roman"/>
        </w:rPr>
        <w:t>re HARQ ACK in time. In Figure 4</w:t>
      </w:r>
      <w:r w:rsidRPr="00995A5F">
        <w:rPr>
          <w:rFonts w:ascii="Times New Roman" w:hAnsi="Times New Roman" w:cs="Times New Roman"/>
        </w:rPr>
        <w:t>, this is the slot #5 for the UCI transmitted in slot #7.</w:t>
      </w:r>
    </w:p>
    <w:p w14:paraId="6EE0727E" w14:textId="4F820A6B" w:rsidR="009A6AFB" w:rsidRPr="004B1850" w:rsidRDefault="009A6AFB" w:rsidP="009A6AFB">
      <w:pPr>
        <w:jc w:val="both"/>
        <w:rPr>
          <w:rFonts w:ascii="Times New Roman" w:hAnsi="Times New Roman" w:cs="Times New Roman"/>
        </w:rPr>
      </w:pPr>
      <w:r w:rsidRPr="005342CB">
        <w:rPr>
          <w:rFonts w:ascii="Times New Roman" w:hAnsi="Times New Roman" w:cs="Times New Roman"/>
        </w:rPr>
        <w:t xml:space="preserve">Dynamic determination of DL association set involves inevitable error cases. For example, missing DL grant for the first DL slot in the DL association set can lead to erroneous ordering of HARQ ACK bits. Appropriate mechanisms, such as counter DAI in LTE, to mitigate such error cases need to be employed with dynamic DL association set determination </w:t>
      </w:r>
      <w:r w:rsidRPr="005342CB">
        <w:rPr>
          <w:rFonts w:ascii="Times New Roman" w:eastAsia="MS Mincho" w:hAnsi="Times New Roman" w:cs="Times New Roman"/>
          <w:lang w:eastAsia="ja-JP"/>
        </w:rPr>
        <w:t>as discussed in</w:t>
      </w:r>
      <w:r w:rsidR="0092052D">
        <w:rPr>
          <w:rFonts w:ascii="Times New Roman" w:eastAsia="MS Mincho" w:hAnsi="Times New Roman" w:cs="Times New Roman"/>
          <w:lang w:eastAsia="ja-JP"/>
        </w:rPr>
        <w:t xml:space="preserve"> </w:t>
      </w:r>
      <w:r w:rsidR="0092052D">
        <w:rPr>
          <w:rFonts w:ascii="Times New Roman" w:eastAsia="MS Mincho" w:hAnsi="Times New Roman" w:cs="Times New Roman"/>
          <w:lang w:eastAsia="ja-JP"/>
        </w:rPr>
        <w:fldChar w:fldCharType="begin"/>
      </w:r>
      <w:r w:rsidR="0092052D">
        <w:rPr>
          <w:rFonts w:ascii="Times New Roman" w:eastAsia="MS Mincho" w:hAnsi="Times New Roman" w:cs="Times New Roman"/>
          <w:lang w:eastAsia="ja-JP"/>
        </w:rPr>
        <w:instrText xml:space="preserve"> REF _Ref492889311 \n </w:instrText>
      </w:r>
      <w:r w:rsidR="0092052D">
        <w:rPr>
          <w:rFonts w:ascii="Times New Roman" w:eastAsia="MS Mincho" w:hAnsi="Times New Roman" w:cs="Times New Roman"/>
          <w:lang w:eastAsia="ja-JP"/>
        </w:rPr>
        <w:fldChar w:fldCharType="separate"/>
      </w:r>
      <w:r w:rsidR="00EC5DC1">
        <w:rPr>
          <w:rFonts w:ascii="Times New Roman" w:eastAsia="MS Mincho" w:hAnsi="Times New Roman" w:cs="Times New Roman"/>
          <w:lang w:eastAsia="ja-JP"/>
        </w:rPr>
        <w:t>[2]</w:t>
      </w:r>
      <w:r w:rsidR="0092052D">
        <w:rPr>
          <w:rFonts w:ascii="Times New Roman" w:eastAsia="MS Mincho" w:hAnsi="Times New Roman" w:cs="Times New Roman"/>
          <w:lang w:eastAsia="ja-JP"/>
        </w:rPr>
        <w:fldChar w:fldCharType="end"/>
      </w:r>
      <w:r w:rsidRPr="004B1850">
        <w:rPr>
          <w:rFonts w:ascii="Times New Roman" w:eastAsia="MS Mincho" w:hAnsi="Times New Roman" w:cs="Times New Roman"/>
          <w:lang w:eastAsia="ja-JP"/>
        </w:rPr>
        <w:t>.</w:t>
      </w:r>
      <w:r w:rsidRPr="004B1850">
        <w:rPr>
          <w:rFonts w:ascii="Times New Roman" w:hAnsi="Times New Roman" w:cs="Times New Roman"/>
        </w:rPr>
        <w:t xml:space="preserve"> </w:t>
      </w:r>
    </w:p>
    <w:p w14:paraId="33953264" w14:textId="625788E8" w:rsidR="009A6AFB" w:rsidRPr="004B1850" w:rsidRDefault="009A6AFB" w:rsidP="009A6AFB">
      <w:pPr>
        <w:jc w:val="both"/>
        <w:rPr>
          <w:rFonts w:ascii="Times New Roman" w:hAnsi="Times New Roman" w:cs="Times New Roman"/>
          <w:b/>
        </w:rPr>
      </w:pPr>
      <w:r w:rsidRPr="004B1850">
        <w:rPr>
          <w:rFonts w:ascii="Times New Roman" w:hAnsi="Times New Roman" w:cs="Times New Roman"/>
          <w:b/>
        </w:rPr>
        <w:t>Proposal-</w:t>
      </w:r>
      <w:r w:rsidR="00E24280" w:rsidRPr="004B1850">
        <w:rPr>
          <w:rFonts w:ascii="Times New Roman" w:hAnsi="Times New Roman" w:cs="Times New Roman"/>
          <w:b/>
        </w:rPr>
        <w:t>8</w:t>
      </w:r>
      <w:r w:rsidRPr="004B1850">
        <w:rPr>
          <w:rFonts w:ascii="Times New Roman" w:hAnsi="Times New Roman" w:cs="Times New Roman"/>
          <w:b/>
        </w:rPr>
        <w:t xml:space="preserve">: Determination of DL association set for HARQ feedback is flexible and based on the indicated </w:t>
      </w:r>
      <w:r w:rsidRPr="004B1850">
        <w:rPr>
          <w:rFonts w:ascii="Times New Roman" w:eastAsia="MS Mincho" w:hAnsi="Times New Roman" w:cs="Times New Roman"/>
          <w:b/>
          <w:lang w:eastAsia="ja-JP"/>
        </w:rPr>
        <w:t>timing relationship between DL data reception and corresponding acknowledgement</w:t>
      </w:r>
      <w:r w:rsidRPr="004B1850">
        <w:rPr>
          <w:rFonts w:ascii="Times New Roman" w:hAnsi="Times New Roman" w:cs="Times New Roman"/>
          <w:b/>
        </w:rPr>
        <w:t>.</w:t>
      </w:r>
    </w:p>
    <w:p w14:paraId="7DBAE3B1" w14:textId="77777777" w:rsidR="009A6AFB" w:rsidRPr="005338A1" w:rsidRDefault="009A6AFB" w:rsidP="009A6AFB">
      <w:pPr>
        <w:jc w:val="center"/>
        <w:rPr>
          <w:rFonts w:ascii="Times New Roman" w:hAnsi="Times New Roman" w:cs="Times New Roman"/>
        </w:rPr>
      </w:pPr>
      <w:r w:rsidRPr="005338A1">
        <w:rPr>
          <w:rFonts w:ascii="Times New Roman" w:hAnsi="Times New Roman" w:cs="Times New Roman"/>
          <w:noProof/>
          <w:lang w:eastAsia="fi-FI"/>
        </w:rPr>
        <w:drawing>
          <wp:inline distT="0" distB="0" distL="0" distR="0" wp14:anchorId="17C25ACA" wp14:editId="1621B74D">
            <wp:extent cx="4400550" cy="1828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0550" cy="1828800"/>
                    </a:xfrm>
                    <a:prstGeom prst="rect">
                      <a:avLst/>
                    </a:prstGeom>
                    <a:noFill/>
                    <a:ln>
                      <a:noFill/>
                    </a:ln>
                  </pic:spPr>
                </pic:pic>
              </a:graphicData>
            </a:graphic>
          </wp:inline>
        </w:drawing>
      </w:r>
    </w:p>
    <w:p w14:paraId="05BDF471" w14:textId="64606E1E" w:rsidR="009A6AFB" w:rsidRPr="005338A1" w:rsidRDefault="009A6AFB" w:rsidP="009A6AFB">
      <w:pPr>
        <w:pStyle w:val="Caption"/>
        <w:jc w:val="center"/>
        <w:rPr>
          <w:rFonts w:ascii="Times New Roman" w:hAnsi="Times New Roman" w:cs="Times New Roman"/>
        </w:rPr>
      </w:pPr>
      <w:r w:rsidRPr="00995A5F">
        <w:rPr>
          <w:rFonts w:ascii="Times New Roman" w:hAnsi="Times New Roman" w:cs="Times New Roman"/>
        </w:rPr>
        <w:t xml:space="preserve">Figure </w:t>
      </w:r>
      <w:r w:rsidR="00995A5F" w:rsidRPr="00BD0974">
        <w:rPr>
          <w:rFonts w:ascii="Times New Roman" w:hAnsi="Times New Roman" w:cs="Times New Roman"/>
          <w:lang w:val="en-US"/>
        </w:rPr>
        <w:t>4</w:t>
      </w:r>
      <w:r w:rsidRPr="00995A5F">
        <w:rPr>
          <w:rFonts w:ascii="Times New Roman" w:hAnsi="Times New Roman" w:cs="Times New Roman"/>
        </w:rPr>
        <w:t>. Dynamic determination</w:t>
      </w:r>
      <w:r w:rsidRPr="005338A1">
        <w:rPr>
          <w:rFonts w:ascii="Times New Roman" w:hAnsi="Times New Roman" w:cs="Times New Roman"/>
        </w:rPr>
        <w:t xml:space="preserve"> of DL association set based on the indicated HARQ-ACK timing offset.</w:t>
      </w:r>
    </w:p>
    <w:p w14:paraId="63573F55" w14:textId="74876C56" w:rsidR="009A6AFB" w:rsidRPr="005342CB" w:rsidRDefault="009A6AFB" w:rsidP="009A6AFB">
      <w:pPr>
        <w:spacing w:before="240" w:after="120"/>
        <w:jc w:val="both"/>
        <w:rPr>
          <w:rFonts w:ascii="Times New Roman" w:eastAsia="MS Mincho" w:hAnsi="Times New Roman" w:cs="Times New Roman"/>
          <w:lang w:eastAsia="ja-JP"/>
        </w:rPr>
      </w:pPr>
      <w:r w:rsidRPr="004B1850">
        <w:rPr>
          <w:rFonts w:ascii="Times New Roman" w:eastAsia="MS Mincho" w:hAnsi="Times New Roman" w:cs="Times New Roman"/>
          <w:lang w:eastAsia="ja-JP"/>
        </w:rPr>
        <w:t>In previous paragraphs, we focused on the DL association set determination per carrier. However, the same approach can be applied also for joint HARQ feedback for multiple DL CCs: DL association set is determined separately for DL component carriers having</w:t>
      </w:r>
      <w:r w:rsidRPr="00995A5F">
        <w:rPr>
          <w:rFonts w:ascii="Times New Roman" w:eastAsia="MS Mincho" w:hAnsi="Times New Roman" w:cs="Times New Roman"/>
          <w:lang w:eastAsia="ja-JP"/>
        </w:rPr>
        <w:t xml:space="preserve"> different </w:t>
      </w:r>
      <w:r w:rsidRPr="00995A5F">
        <w:rPr>
          <w:rFonts w:ascii="Times New Roman" w:hAnsi="Times New Roman" w:cs="Times New Roman"/>
        </w:rPr>
        <w:t>UE minimum (configured) processing time, e.g. due to d</w:t>
      </w:r>
      <w:r w:rsidR="00053430">
        <w:rPr>
          <w:rFonts w:ascii="Times New Roman" w:hAnsi="Times New Roman" w:cs="Times New Roman"/>
        </w:rPr>
        <w:t>ifferent numerologies. T</w:t>
      </w:r>
      <w:r w:rsidR="002A3242" w:rsidRPr="005342CB">
        <w:rPr>
          <w:rFonts w:ascii="Times New Roman" w:hAnsi="Times New Roman" w:cs="Times New Roman"/>
        </w:rPr>
        <w:t xml:space="preserve">he </w:t>
      </w:r>
      <w:r w:rsidRPr="005342CB">
        <w:rPr>
          <w:rFonts w:ascii="Times New Roman" w:hAnsi="Times New Roman" w:cs="Times New Roman"/>
        </w:rPr>
        <w:t xml:space="preserve">same DL association set </w:t>
      </w:r>
      <w:r w:rsidR="00C821D9">
        <w:rPr>
          <w:rFonts w:ascii="Times New Roman" w:hAnsi="Times New Roman" w:cs="Times New Roman"/>
        </w:rPr>
        <w:t>may</w:t>
      </w:r>
      <w:r w:rsidRPr="005342CB">
        <w:rPr>
          <w:rFonts w:ascii="Times New Roman" w:hAnsi="Times New Roman" w:cs="Times New Roman"/>
        </w:rPr>
        <w:t xml:space="preserve"> be used for </w:t>
      </w:r>
      <w:r w:rsidRPr="005342CB">
        <w:rPr>
          <w:rFonts w:ascii="Times New Roman" w:eastAsia="MS Mincho" w:hAnsi="Times New Roman" w:cs="Times New Roman"/>
          <w:lang w:eastAsia="ja-JP"/>
        </w:rPr>
        <w:t xml:space="preserve">DL component carriers with the same </w:t>
      </w:r>
      <w:r w:rsidRPr="005342CB">
        <w:rPr>
          <w:rFonts w:ascii="Times New Roman" w:hAnsi="Times New Roman" w:cs="Times New Roman"/>
        </w:rPr>
        <w:t>UE minimum (configured) processing time.</w:t>
      </w:r>
      <w:r w:rsidR="00053430">
        <w:rPr>
          <w:rFonts w:ascii="Times New Roman" w:hAnsi="Times New Roman" w:cs="Times New Roman"/>
        </w:rPr>
        <w:t xml:space="preserve"> This can reduce the latency as shown in Figure 3</w:t>
      </w:r>
      <w:r w:rsidR="00E75CA5">
        <w:rPr>
          <w:rFonts w:ascii="Times New Roman" w:hAnsi="Times New Roman" w:cs="Times New Roman"/>
        </w:rPr>
        <w:t>b</w:t>
      </w:r>
      <w:r w:rsidR="00053430">
        <w:rPr>
          <w:rFonts w:ascii="Times New Roman" w:hAnsi="Times New Roman" w:cs="Times New Roman"/>
        </w:rPr>
        <w:t>.</w:t>
      </w:r>
      <w:r w:rsidRPr="005342CB">
        <w:rPr>
          <w:rFonts w:ascii="Times New Roman" w:hAnsi="Times New Roman" w:cs="Times New Roman"/>
        </w:rPr>
        <w:t xml:space="preserve"> </w:t>
      </w:r>
      <w:r w:rsidR="00053430">
        <w:rPr>
          <w:rFonts w:ascii="Times New Roman" w:hAnsi="Times New Roman" w:cs="Times New Roman"/>
        </w:rPr>
        <w:t>It also</w:t>
      </w:r>
      <w:r w:rsidRPr="005342CB">
        <w:rPr>
          <w:rFonts w:ascii="Times New Roman" w:hAnsi="Times New Roman" w:cs="Times New Roman"/>
        </w:rPr>
        <w:t xml:space="preserve"> maintains the flexibility of NR – as well as </w:t>
      </w:r>
      <w:r w:rsidR="00E75CA5">
        <w:rPr>
          <w:rFonts w:ascii="Times New Roman" w:hAnsi="Times New Roman" w:cs="Times New Roman"/>
        </w:rPr>
        <w:t>makes NR future-</w:t>
      </w:r>
      <w:r w:rsidRPr="005342CB">
        <w:rPr>
          <w:rFonts w:ascii="Times New Roman" w:hAnsi="Times New Roman" w:cs="Times New Roman"/>
        </w:rPr>
        <w:t xml:space="preserve">proof – while keeps system design simple. </w:t>
      </w:r>
    </w:p>
    <w:p w14:paraId="25258722" w14:textId="7E4F931B" w:rsidR="009A6AFB" w:rsidRPr="005342CB" w:rsidRDefault="009A6AFB" w:rsidP="009A6AFB">
      <w:pPr>
        <w:spacing w:after="0"/>
        <w:jc w:val="both"/>
        <w:rPr>
          <w:rFonts w:ascii="Times New Roman" w:hAnsi="Times New Roman" w:cs="Times New Roman"/>
          <w:b/>
        </w:rPr>
      </w:pPr>
      <w:r w:rsidRPr="005342CB">
        <w:rPr>
          <w:rFonts w:ascii="Times New Roman" w:hAnsi="Times New Roman" w:cs="Times New Roman"/>
          <w:b/>
        </w:rPr>
        <w:t>Proposal-</w:t>
      </w:r>
      <w:r w:rsidR="00E24280" w:rsidRPr="005342CB">
        <w:rPr>
          <w:rFonts w:ascii="Times New Roman" w:hAnsi="Times New Roman" w:cs="Times New Roman"/>
          <w:b/>
        </w:rPr>
        <w:t>9</w:t>
      </w:r>
      <w:r w:rsidRPr="005342CB">
        <w:rPr>
          <w:rFonts w:ascii="Times New Roman" w:hAnsi="Times New Roman" w:cs="Times New Roman"/>
          <w:b/>
        </w:rPr>
        <w:t xml:space="preserve">: DL association set is determined separately for DL CCs </w:t>
      </w:r>
      <w:r w:rsidRPr="005342CB">
        <w:rPr>
          <w:rFonts w:ascii="Times New Roman" w:eastAsia="MS Mincho" w:hAnsi="Times New Roman" w:cs="Times New Roman"/>
          <w:b/>
          <w:lang w:eastAsia="ja-JP"/>
        </w:rPr>
        <w:t xml:space="preserve">having different </w:t>
      </w:r>
      <w:r w:rsidRPr="005342CB">
        <w:rPr>
          <w:rFonts w:ascii="Times New Roman" w:hAnsi="Times New Roman" w:cs="Times New Roman"/>
          <w:b/>
        </w:rPr>
        <w:t xml:space="preserve">UE minimum (configured) processing time. </w:t>
      </w:r>
    </w:p>
    <w:p w14:paraId="2BBDE25E" w14:textId="2C7C16BD" w:rsidR="009A6AFB" w:rsidRDefault="009A6AFB" w:rsidP="009A6AFB">
      <w:pPr>
        <w:pStyle w:val="ListParagraph"/>
        <w:numPr>
          <w:ilvl w:val="0"/>
          <w:numId w:val="22"/>
        </w:numPr>
        <w:spacing w:after="240"/>
        <w:ind w:left="714" w:hanging="357"/>
        <w:jc w:val="both"/>
        <w:rPr>
          <w:rFonts w:ascii="Times New Roman" w:hAnsi="Times New Roman" w:cs="Times New Roman"/>
          <w:b/>
        </w:rPr>
      </w:pPr>
      <w:r w:rsidRPr="005342CB">
        <w:rPr>
          <w:rFonts w:ascii="Times New Roman" w:hAnsi="Times New Roman" w:cs="Times New Roman"/>
          <w:b/>
        </w:rPr>
        <w:t xml:space="preserve">Same DL association set </w:t>
      </w:r>
      <w:r w:rsidR="00E93579">
        <w:rPr>
          <w:rFonts w:ascii="Times New Roman" w:hAnsi="Times New Roman" w:cs="Times New Roman"/>
          <w:b/>
        </w:rPr>
        <w:t>may</w:t>
      </w:r>
      <w:r w:rsidR="00D22435">
        <w:rPr>
          <w:rFonts w:ascii="Times New Roman" w:hAnsi="Times New Roman" w:cs="Times New Roman"/>
          <w:b/>
        </w:rPr>
        <w:t xml:space="preserve"> be</w:t>
      </w:r>
      <w:r w:rsidR="00D22435" w:rsidRPr="005342CB">
        <w:rPr>
          <w:rFonts w:ascii="Times New Roman" w:hAnsi="Times New Roman" w:cs="Times New Roman"/>
          <w:b/>
        </w:rPr>
        <w:t xml:space="preserve"> </w:t>
      </w:r>
      <w:r w:rsidRPr="005342CB">
        <w:rPr>
          <w:rFonts w:ascii="Times New Roman" w:hAnsi="Times New Roman" w:cs="Times New Roman"/>
          <w:b/>
        </w:rPr>
        <w:t xml:space="preserve">used for </w:t>
      </w:r>
      <w:r w:rsidRPr="005342CB">
        <w:rPr>
          <w:rFonts w:ascii="Times New Roman" w:eastAsia="MS Mincho" w:hAnsi="Times New Roman" w:cs="Times New Roman"/>
          <w:b/>
          <w:lang w:eastAsia="ja-JP"/>
        </w:rPr>
        <w:t xml:space="preserve">DL CCs with the same </w:t>
      </w:r>
      <w:r w:rsidRPr="005342CB">
        <w:rPr>
          <w:rFonts w:ascii="Times New Roman" w:hAnsi="Times New Roman" w:cs="Times New Roman"/>
          <w:b/>
        </w:rPr>
        <w:t>UE minimum (configured) processing time.</w:t>
      </w:r>
    </w:p>
    <w:p w14:paraId="2EA200C6" w14:textId="77777777" w:rsidR="009A6AFB" w:rsidRPr="00C63047" w:rsidRDefault="009A6AFB" w:rsidP="009A6AFB">
      <w:pPr>
        <w:pStyle w:val="Heading3"/>
        <w:numPr>
          <w:ilvl w:val="0"/>
          <w:numId w:val="0"/>
        </w:numPr>
      </w:pPr>
      <w:r>
        <w:t>4.2 Dynamic codebook determination</w:t>
      </w:r>
    </w:p>
    <w:p w14:paraId="1804707E" w14:textId="77777777" w:rsidR="009A6AFB" w:rsidRPr="005342CB" w:rsidRDefault="009A6AFB" w:rsidP="009A6AFB">
      <w:pPr>
        <w:spacing w:after="120"/>
        <w:jc w:val="both"/>
        <w:rPr>
          <w:rFonts w:ascii="Times New Roman" w:eastAsia="MS Mincho" w:hAnsi="Times New Roman" w:cs="Times New Roman"/>
          <w:lang w:eastAsia="ja-JP"/>
        </w:rPr>
      </w:pPr>
      <w:r w:rsidRPr="004B1850">
        <w:rPr>
          <w:rFonts w:ascii="Times New Roman" w:eastAsia="MS Mincho" w:hAnsi="Times New Roman" w:cs="Times New Roman"/>
          <w:lang w:eastAsia="ja-JP"/>
        </w:rPr>
        <w:t xml:space="preserve">In this section, we focus on dynamic codebook size determination. </w:t>
      </w:r>
      <w:r w:rsidRPr="004B1850">
        <w:rPr>
          <w:rFonts w:ascii="Times New Roman" w:hAnsi="Times New Roman" w:cs="Times New Roman"/>
        </w:rPr>
        <w:t>Dynamic determination of HARQ ACK codebook size is attractive option especially when the size</w:t>
      </w:r>
      <w:r w:rsidRPr="005342CB">
        <w:rPr>
          <w:rFonts w:ascii="Times New Roman" w:hAnsi="Times New Roman" w:cs="Times New Roman"/>
        </w:rPr>
        <w:t xml:space="preserve"> of the reported HARQ feedback can be temporally large but is typically significantly smaller.</w:t>
      </w:r>
    </w:p>
    <w:p w14:paraId="7D5C4CF7" w14:textId="5B08B80D" w:rsidR="009A6AFB" w:rsidRPr="005342CB" w:rsidRDefault="009A6AFB" w:rsidP="009A6AFB">
      <w:pPr>
        <w:spacing w:after="120"/>
        <w:jc w:val="both"/>
        <w:rPr>
          <w:rFonts w:ascii="Times New Roman" w:eastAsia="MS Mincho" w:hAnsi="Times New Roman" w:cs="Times New Roman"/>
          <w:lang w:eastAsia="ja-JP"/>
        </w:rPr>
      </w:pPr>
      <w:r w:rsidRPr="005342CB">
        <w:rPr>
          <w:rFonts w:ascii="Times New Roman" w:eastAsia="MS Mincho" w:hAnsi="Times New Roman" w:cs="Times New Roman"/>
          <w:lang w:eastAsia="ja-JP"/>
        </w:rPr>
        <w:t xml:space="preserve">We assume DL association set determination discussed in previous section, that is, DL association set is determined separately for DL CCs having different UE minimum (configured) processing time but the same DL association set </w:t>
      </w:r>
      <w:r w:rsidR="00B33DC1">
        <w:rPr>
          <w:rFonts w:ascii="Times New Roman" w:eastAsia="MS Mincho" w:hAnsi="Times New Roman" w:cs="Times New Roman"/>
          <w:lang w:eastAsia="ja-JP"/>
        </w:rPr>
        <w:t>may be</w:t>
      </w:r>
      <w:r w:rsidRPr="005342CB">
        <w:rPr>
          <w:rFonts w:ascii="Times New Roman" w:eastAsia="MS Mincho" w:hAnsi="Times New Roman" w:cs="Times New Roman"/>
          <w:lang w:eastAsia="ja-JP"/>
        </w:rPr>
        <w:t xml:space="preserve"> used for a set of DL CCs with the same UE minimum (configured) processing time. We propose that HARQ ACK sub-codebook is determined separately for each DL CC set (sharing the same DL association set) and the resulting HARQ ACK sub-codebooks are then concatenated for joint encoding and </w:t>
      </w:r>
      <w:r w:rsidRPr="005342CB">
        <w:rPr>
          <w:rFonts w:ascii="Times New Roman" w:eastAsia="MS Mincho" w:hAnsi="Times New Roman" w:cs="Times New Roman"/>
          <w:lang w:eastAsia="ja-JP"/>
        </w:rPr>
        <w:lastRenderedPageBreak/>
        <w:t>transmission. The sub-codebook may be determined jointly over the DL CCs in the same DL CC set with the help of counter DAI and total DAI operating in frequency-first–time-second manner as in LTE Rel-13.</w:t>
      </w:r>
    </w:p>
    <w:p w14:paraId="59018C9A" w14:textId="20EBDF83" w:rsidR="009A6AFB" w:rsidRPr="004B1850" w:rsidRDefault="009A6AFB" w:rsidP="009A6AFB">
      <w:pPr>
        <w:spacing w:after="0"/>
        <w:jc w:val="both"/>
        <w:rPr>
          <w:rFonts w:ascii="Times New Roman" w:eastAsia="MS Mincho" w:hAnsi="Times New Roman" w:cs="Times New Roman"/>
          <w:lang w:eastAsia="ja-JP"/>
        </w:rPr>
      </w:pPr>
      <w:r w:rsidRPr="004B1850">
        <w:rPr>
          <w:rFonts w:ascii="Times New Roman" w:eastAsia="MS Mincho" w:hAnsi="Times New Roman" w:cs="Times New Roman"/>
          <w:lang w:eastAsia="ja-JP"/>
        </w:rPr>
        <w:t xml:space="preserve">In such approach using sub-codebook determination, special attention </w:t>
      </w:r>
      <w:r w:rsidR="00D22435">
        <w:rPr>
          <w:rFonts w:ascii="Times New Roman" w:eastAsia="MS Mincho" w:hAnsi="Times New Roman" w:cs="Times New Roman"/>
          <w:lang w:eastAsia="ja-JP"/>
        </w:rPr>
        <w:t>is needed for</w:t>
      </w:r>
      <w:r w:rsidRPr="004B1850">
        <w:rPr>
          <w:rFonts w:ascii="Times New Roman" w:eastAsia="MS Mincho" w:hAnsi="Times New Roman" w:cs="Times New Roman"/>
          <w:lang w:eastAsia="ja-JP"/>
        </w:rPr>
        <w:t xml:space="preserve"> the </w:t>
      </w:r>
      <w:r w:rsidR="005536E9">
        <w:rPr>
          <w:rFonts w:ascii="Times New Roman" w:eastAsia="MS Mincho" w:hAnsi="Times New Roman" w:cs="Times New Roman"/>
          <w:lang w:eastAsia="ja-JP"/>
        </w:rPr>
        <w:t xml:space="preserve">possible </w:t>
      </w:r>
      <w:r w:rsidRPr="004B1850">
        <w:rPr>
          <w:rFonts w:ascii="Times New Roman" w:eastAsia="MS Mincho" w:hAnsi="Times New Roman" w:cs="Times New Roman"/>
          <w:lang w:eastAsia="ja-JP"/>
        </w:rPr>
        <w:t xml:space="preserve">error case </w:t>
      </w:r>
      <w:r w:rsidR="00C821D9">
        <w:rPr>
          <w:rFonts w:ascii="Times New Roman" w:eastAsia="MS Mincho" w:hAnsi="Times New Roman" w:cs="Times New Roman"/>
          <w:lang w:eastAsia="ja-JP"/>
        </w:rPr>
        <w:t>occurring</w:t>
      </w:r>
      <w:r w:rsidR="005536E9">
        <w:rPr>
          <w:rFonts w:ascii="Times New Roman" w:eastAsia="MS Mincho" w:hAnsi="Times New Roman" w:cs="Times New Roman"/>
          <w:lang w:eastAsia="ja-JP"/>
        </w:rPr>
        <w:t xml:space="preserve"> </w:t>
      </w:r>
      <w:r w:rsidRPr="004B1850">
        <w:rPr>
          <w:rFonts w:ascii="Times New Roman" w:eastAsia="MS Mincho" w:hAnsi="Times New Roman" w:cs="Times New Roman"/>
          <w:lang w:eastAsia="ja-JP"/>
        </w:rPr>
        <w:t xml:space="preserve">when </w:t>
      </w:r>
      <w:r w:rsidR="005536E9">
        <w:rPr>
          <w:rFonts w:ascii="Times New Roman" w:eastAsia="MS Mincho" w:hAnsi="Times New Roman" w:cs="Times New Roman"/>
          <w:lang w:eastAsia="ja-JP"/>
        </w:rPr>
        <w:t xml:space="preserve">a </w:t>
      </w:r>
      <w:r w:rsidRPr="004B1850">
        <w:rPr>
          <w:rFonts w:ascii="Times New Roman" w:eastAsia="MS Mincho" w:hAnsi="Times New Roman" w:cs="Times New Roman"/>
          <w:lang w:eastAsia="ja-JP"/>
        </w:rPr>
        <w:t xml:space="preserve">UE is scheduled with only one PDSCH on one of the DL CC sets (while the UE is scheduled </w:t>
      </w:r>
      <w:r w:rsidRPr="00A370FB">
        <w:rPr>
          <w:rFonts w:ascii="Times New Roman" w:eastAsia="MS Mincho" w:hAnsi="Times New Roman" w:cs="Times New Roman"/>
          <w:lang w:eastAsia="ja-JP"/>
        </w:rPr>
        <w:t xml:space="preserve">with PDSCH(s) also on another DL CC set). If UE misses that single DL grant, it will not determine any sub-codebook for that DL CC set. </w:t>
      </w:r>
      <w:r w:rsidRPr="005342CB">
        <w:rPr>
          <w:rFonts w:ascii="Times New Roman" w:eastAsia="MS Mincho" w:hAnsi="Times New Roman" w:cs="Times New Roman"/>
          <w:lang w:eastAsia="ja-JP"/>
        </w:rPr>
        <w:t xml:space="preserve">The error can lead to failure in HARQ feedback detection or even to NACK-to-ACK error. This error case can be simply solved e.g. by: </w:t>
      </w:r>
    </w:p>
    <w:p w14:paraId="2B7BC6F0" w14:textId="2A20FBBD" w:rsidR="009A6AFB" w:rsidRPr="005342CB" w:rsidRDefault="009A6AFB" w:rsidP="009A6AFB">
      <w:pPr>
        <w:pStyle w:val="ListParagraph"/>
        <w:numPr>
          <w:ilvl w:val="0"/>
          <w:numId w:val="17"/>
        </w:numPr>
        <w:spacing w:after="60" w:line="256" w:lineRule="auto"/>
        <w:ind w:left="714" w:hanging="357"/>
        <w:jc w:val="both"/>
        <w:rPr>
          <w:rFonts w:ascii="Times New Roman" w:eastAsia="MS Mincho" w:hAnsi="Times New Roman" w:cs="Times New Roman"/>
          <w:b/>
          <w:i/>
          <w:lang w:eastAsia="ja-JP"/>
        </w:rPr>
      </w:pPr>
      <w:r w:rsidRPr="005342CB">
        <w:rPr>
          <w:rFonts w:ascii="Times New Roman" w:hAnsi="Times New Roman" w:cs="Times New Roman"/>
        </w:rPr>
        <w:t>A minimum sub-codebook size is defined for all DL CC sets, which is always included to the concatenated codebook. Although this approach leads to unnecessary transmission of NACKs when a DL CC set is not scheduled, the drawback can be expected to be minimal as only couple of bits are added.</w:t>
      </w:r>
      <w:r w:rsidR="005536E9">
        <w:rPr>
          <w:rFonts w:ascii="Times New Roman" w:hAnsi="Times New Roman" w:cs="Times New Roman"/>
        </w:rPr>
        <w:t xml:space="preserve"> More bits are used for the minimum sub-CB, less probability for the error-case.</w:t>
      </w:r>
    </w:p>
    <w:p w14:paraId="468BBA9B" w14:textId="77777777" w:rsidR="009A6AFB" w:rsidRPr="005342CB" w:rsidRDefault="009A6AFB" w:rsidP="009A6AFB">
      <w:pPr>
        <w:pStyle w:val="ListParagraph"/>
        <w:numPr>
          <w:ilvl w:val="0"/>
          <w:numId w:val="17"/>
        </w:numPr>
        <w:spacing w:before="240" w:after="120" w:line="256" w:lineRule="auto"/>
        <w:ind w:left="714" w:hanging="357"/>
        <w:jc w:val="both"/>
        <w:rPr>
          <w:rFonts w:ascii="Times New Roman" w:eastAsia="MS Mincho" w:hAnsi="Times New Roman" w:cs="Times New Roman"/>
          <w:b/>
          <w:i/>
          <w:lang w:eastAsia="ja-JP"/>
        </w:rPr>
      </w:pPr>
      <w:r w:rsidRPr="005342CB">
        <w:rPr>
          <w:rFonts w:ascii="Times New Roman" w:eastAsia="MS Mincho" w:hAnsi="Times New Roman" w:cs="Times New Roman"/>
          <w:lang w:eastAsia="ja-JP"/>
        </w:rPr>
        <w:t>Another alternative is to apply the largest determined sub-codebook size for all DL CC sets. This results in even larger amount of unnecessary NACKs transmitted.</w:t>
      </w:r>
    </w:p>
    <w:p w14:paraId="0357F02F" w14:textId="77777777" w:rsidR="0047302D" w:rsidRDefault="009A6AFB">
      <w:pPr>
        <w:jc w:val="both"/>
        <w:rPr>
          <w:rFonts w:ascii="Times New Roman" w:eastAsia="MS Mincho" w:hAnsi="Times New Roman" w:cs="Times New Roman"/>
          <w:lang w:eastAsia="ja-JP"/>
        </w:rPr>
      </w:pPr>
      <w:r w:rsidRPr="005342CB">
        <w:rPr>
          <w:rFonts w:ascii="Times New Roman" w:eastAsia="MS Mincho" w:hAnsi="Times New Roman" w:cs="Times New Roman"/>
          <w:lang w:eastAsia="ja-JP"/>
        </w:rPr>
        <w:t>Alternatively, to the HARQ ACK codebook determination separately for each DL CC set (sharing the same DL association set), the codebook may be determined jointly over all DL CCs with the help of counter DAI and total DAI operating in frequency-first–time-second manner as in LTE Rel-13. However, total DAI needs to be indicated already on the DCI of first PDSCH associated with the codebook. Hence</w:t>
      </w:r>
      <w:r w:rsidR="00B55CC5" w:rsidRPr="005342CB">
        <w:rPr>
          <w:rFonts w:ascii="Times New Roman" w:eastAsia="MS Mincho" w:hAnsi="Times New Roman" w:cs="Times New Roman"/>
          <w:lang w:eastAsia="ja-JP"/>
        </w:rPr>
        <w:t>,</w:t>
      </w:r>
      <w:r w:rsidRPr="005342CB">
        <w:rPr>
          <w:rFonts w:ascii="Times New Roman" w:eastAsia="MS Mincho" w:hAnsi="Times New Roman" w:cs="Times New Roman"/>
          <w:lang w:eastAsia="ja-JP"/>
        </w:rPr>
        <w:t xml:space="preserve"> total DAI involves either prediction for the scheduling on later slots or scheduling restriction. </w:t>
      </w:r>
    </w:p>
    <w:p w14:paraId="292D4563" w14:textId="03BBC688" w:rsidR="00C7591B" w:rsidRDefault="009A6AFB">
      <w:pPr>
        <w:jc w:val="both"/>
        <w:rPr>
          <w:rFonts w:ascii="Times New Roman" w:eastAsia="MS Mincho" w:hAnsi="Times New Roman" w:cs="Times New Roman"/>
          <w:lang w:eastAsia="ja-JP"/>
        </w:rPr>
      </w:pPr>
      <w:r w:rsidRPr="005342CB">
        <w:rPr>
          <w:rFonts w:ascii="Times New Roman" w:eastAsia="MS Mincho" w:hAnsi="Times New Roman" w:cs="Times New Roman"/>
          <w:lang w:eastAsia="ja-JP"/>
        </w:rPr>
        <w:t xml:space="preserve">If DAI process covers all DL CCs with different UE minimum processing times, the scheduling prediction becomes </w:t>
      </w:r>
      <w:r w:rsidR="00FA24C0">
        <w:rPr>
          <w:rFonts w:ascii="Times New Roman" w:eastAsia="MS Mincho" w:hAnsi="Times New Roman" w:cs="Times New Roman"/>
          <w:lang w:eastAsia="ja-JP"/>
        </w:rPr>
        <w:t xml:space="preserve">easily </w:t>
      </w:r>
      <w:r w:rsidRPr="005342CB">
        <w:rPr>
          <w:rFonts w:ascii="Times New Roman" w:eastAsia="MS Mincho" w:hAnsi="Times New Roman" w:cs="Times New Roman"/>
          <w:lang w:eastAsia="ja-JP"/>
        </w:rPr>
        <w:t>infeasible.</w:t>
      </w:r>
      <w:r w:rsidR="00FA24C0">
        <w:rPr>
          <w:rFonts w:ascii="Times New Roman" w:eastAsia="MS Mincho" w:hAnsi="Times New Roman" w:cs="Times New Roman"/>
          <w:lang w:eastAsia="ja-JP"/>
        </w:rPr>
        <w:t xml:space="preserve"> </w:t>
      </w:r>
      <w:r w:rsidR="00D51573">
        <w:rPr>
          <w:rFonts w:ascii="Times New Roman" w:eastAsia="MS Mincho" w:hAnsi="Times New Roman" w:cs="Times New Roman"/>
          <w:lang w:eastAsia="ja-JP"/>
        </w:rPr>
        <w:t>Basically,</w:t>
      </w:r>
      <w:r w:rsidR="00F169DD">
        <w:rPr>
          <w:rFonts w:ascii="Times New Roman" w:eastAsia="MS Mincho" w:hAnsi="Times New Roman" w:cs="Times New Roman"/>
          <w:lang w:eastAsia="ja-JP"/>
        </w:rPr>
        <w:t xml:space="preserve"> the scheduler for higher SCS</w:t>
      </w:r>
      <w:r w:rsidR="00D51573">
        <w:rPr>
          <w:rFonts w:ascii="Times New Roman" w:eastAsia="MS Mincho" w:hAnsi="Times New Roman" w:cs="Times New Roman"/>
          <w:lang w:eastAsia="ja-JP"/>
        </w:rPr>
        <w:t xml:space="preserve"> cell</w:t>
      </w:r>
      <w:r w:rsidR="00F169DD">
        <w:rPr>
          <w:rFonts w:ascii="Times New Roman" w:eastAsia="MS Mincho" w:hAnsi="Times New Roman" w:cs="Times New Roman"/>
          <w:lang w:eastAsia="ja-JP"/>
        </w:rPr>
        <w:t xml:space="preserve"> may run at different pace compared to low SCS </w:t>
      </w:r>
      <w:r w:rsidR="00D51573">
        <w:rPr>
          <w:rFonts w:ascii="Times New Roman" w:eastAsia="MS Mincho" w:hAnsi="Times New Roman" w:cs="Times New Roman"/>
          <w:lang w:eastAsia="ja-JP"/>
        </w:rPr>
        <w:t xml:space="preserve">cell. </w:t>
      </w:r>
      <w:r w:rsidR="00FA24C0">
        <w:rPr>
          <w:rFonts w:ascii="Times New Roman" w:eastAsia="MS Mincho" w:hAnsi="Times New Roman" w:cs="Times New Roman"/>
          <w:lang w:eastAsia="ja-JP"/>
        </w:rPr>
        <w:t xml:space="preserve">This is illustrated in Figure 5, where </w:t>
      </w:r>
      <w:r w:rsidR="00461CAE">
        <w:rPr>
          <w:rFonts w:ascii="Times New Roman" w:eastAsia="MS Mincho" w:hAnsi="Times New Roman" w:cs="Times New Roman"/>
          <w:lang w:eastAsia="ja-JP"/>
        </w:rPr>
        <w:t xml:space="preserve">two </w:t>
      </w:r>
      <w:r w:rsidR="00FA24C0">
        <w:rPr>
          <w:rFonts w:ascii="Times New Roman" w:eastAsia="MS Mincho" w:hAnsi="Times New Roman" w:cs="Times New Roman"/>
          <w:lang w:eastAsia="ja-JP"/>
        </w:rPr>
        <w:t>PDSCHs marked with yellow belong to the same DL association set</w:t>
      </w:r>
      <w:r w:rsidR="00461CAE">
        <w:rPr>
          <w:rFonts w:ascii="Times New Roman" w:eastAsia="MS Mincho" w:hAnsi="Times New Roman" w:cs="Times New Roman"/>
          <w:lang w:eastAsia="ja-JP"/>
        </w:rPr>
        <w:t>, the orange PDSCH belongs to the previous DL association set</w:t>
      </w:r>
      <w:r w:rsidR="00FA24C0">
        <w:rPr>
          <w:rFonts w:ascii="Times New Roman" w:eastAsia="MS Mincho" w:hAnsi="Times New Roman" w:cs="Times New Roman"/>
          <w:lang w:eastAsia="ja-JP"/>
        </w:rPr>
        <w:t>.</w:t>
      </w:r>
      <w:r w:rsidR="00C7591B">
        <w:rPr>
          <w:rFonts w:ascii="Times New Roman" w:eastAsia="MS Mincho" w:hAnsi="Times New Roman" w:cs="Times New Roman"/>
          <w:lang w:eastAsia="ja-JP"/>
        </w:rPr>
        <w:t xml:space="preserve"> </w:t>
      </w:r>
      <w:r w:rsidR="008061FD">
        <w:rPr>
          <w:rFonts w:ascii="Times New Roman" w:eastAsia="MS Mincho" w:hAnsi="Times New Roman" w:cs="Times New Roman"/>
          <w:lang w:eastAsia="ja-JP"/>
        </w:rPr>
        <w:t>First t</w:t>
      </w:r>
      <w:r w:rsidR="00FA24C0" w:rsidRPr="00C821D9">
        <w:rPr>
          <w:rFonts w:ascii="Times New Roman" w:eastAsia="MS Mincho" w:hAnsi="Times New Roman" w:cs="Times New Roman"/>
          <w:lang w:eastAsia="ja-JP"/>
        </w:rPr>
        <w:t>otal DAI is indicated on PCell</w:t>
      </w:r>
      <w:r w:rsidR="00461CAE">
        <w:rPr>
          <w:rFonts w:ascii="Times New Roman" w:eastAsia="MS Mincho" w:hAnsi="Times New Roman" w:cs="Times New Roman"/>
          <w:lang w:eastAsia="ja-JP"/>
        </w:rPr>
        <w:t xml:space="preserve"> (15kHz)</w:t>
      </w:r>
      <w:r w:rsidR="00FA24C0" w:rsidRPr="00C821D9">
        <w:rPr>
          <w:rFonts w:ascii="Times New Roman" w:eastAsia="MS Mincho" w:hAnsi="Times New Roman" w:cs="Times New Roman"/>
          <w:lang w:eastAsia="ja-JP"/>
        </w:rPr>
        <w:t xml:space="preserve"> slot n. Th</w:t>
      </w:r>
      <w:r w:rsidR="008061FD">
        <w:rPr>
          <w:rFonts w:ascii="Times New Roman" w:eastAsia="MS Mincho" w:hAnsi="Times New Roman" w:cs="Times New Roman"/>
          <w:lang w:eastAsia="ja-JP"/>
        </w:rPr>
        <w:t>e</w:t>
      </w:r>
      <w:r w:rsidR="00FA24C0" w:rsidRPr="00C821D9">
        <w:rPr>
          <w:rFonts w:ascii="Times New Roman" w:eastAsia="MS Mincho" w:hAnsi="Times New Roman" w:cs="Times New Roman"/>
          <w:lang w:eastAsia="ja-JP"/>
        </w:rPr>
        <w:t xml:space="preserve"> </w:t>
      </w:r>
      <w:r w:rsidR="00C7591B" w:rsidRPr="00C821D9">
        <w:rPr>
          <w:rFonts w:ascii="Times New Roman" w:eastAsia="MS Mincho" w:hAnsi="Times New Roman" w:cs="Times New Roman"/>
          <w:lang w:eastAsia="ja-JP"/>
        </w:rPr>
        <w:t>total DAI covers</w:t>
      </w:r>
      <w:r w:rsidR="00FA24C0" w:rsidRPr="00C821D9">
        <w:rPr>
          <w:rFonts w:ascii="Times New Roman" w:eastAsia="MS Mincho" w:hAnsi="Times New Roman" w:cs="Times New Roman"/>
          <w:lang w:eastAsia="ja-JP"/>
        </w:rPr>
        <w:t xml:space="preserve"> also PDSCH </w:t>
      </w:r>
      <w:r w:rsidR="008061FD">
        <w:rPr>
          <w:rFonts w:ascii="Times New Roman" w:eastAsia="MS Mincho" w:hAnsi="Times New Roman" w:cs="Times New Roman"/>
          <w:lang w:eastAsia="ja-JP"/>
        </w:rPr>
        <w:t xml:space="preserve">transmitted </w:t>
      </w:r>
      <w:r w:rsidR="00FA24C0" w:rsidRPr="00C821D9">
        <w:rPr>
          <w:rFonts w:ascii="Times New Roman" w:eastAsia="MS Mincho" w:hAnsi="Times New Roman" w:cs="Times New Roman"/>
          <w:lang w:eastAsia="ja-JP"/>
        </w:rPr>
        <w:t>on SCell</w:t>
      </w:r>
      <w:r w:rsidR="00461CAE">
        <w:rPr>
          <w:rFonts w:ascii="Times New Roman" w:eastAsia="MS Mincho" w:hAnsi="Times New Roman" w:cs="Times New Roman"/>
          <w:lang w:eastAsia="ja-JP"/>
        </w:rPr>
        <w:t xml:space="preserve"> (60kHz)</w:t>
      </w:r>
      <w:r w:rsidR="00FA24C0" w:rsidRPr="00C821D9">
        <w:rPr>
          <w:rFonts w:ascii="Times New Roman" w:eastAsia="MS Mincho" w:hAnsi="Times New Roman" w:cs="Times New Roman"/>
          <w:lang w:eastAsia="ja-JP"/>
        </w:rPr>
        <w:t xml:space="preserve"> slot k+8. </w:t>
      </w:r>
      <w:r w:rsidR="00C7591B" w:rsidRPr="00C821D9">
        <w:rPr>
          <w:rFonts w:ascii="Times New Roman" w:eastAsia="MS Mincho" w:hAnsi="Times New Roman" w:cs="Times New Roman"/>
          <w:lang w:eastAsia="ja-JP"/>
        </w:rPr>
        <w:t>However, the previous transmission</w:t>
      </w:r>
      <w:r w:rsidR="008061FD">
        <w:rPr>
          <w:rFonts w:ascii="Times New Roman" w:eastAsia="MS Mincho" w:hAnsi="Times New Roman" w:cs="Times New Roman"/>
          <w:lang w:eastAsia="ja-JP"/>
        </w:rPr>
        <w:t xml:space="preserve"> for that HARQ process</w:t>
      </w:r>
      <w:r w:rsidR="00606AD9">
        <w:rPr>
          <w:rFonts w:ascii="Times New Roman" w:eastAsia="MS Mincho" w:hAnsi="Times New Roman" w:cs="Times New Roman"/>
          <w:lang w:eastAsia="ja-JP"/>
        </w:rPr>
        <w:t xml:space="preserve"> transmitted at k+8</w:t>
      </w:r>
      <w:r w:rsidR="008061FD">
        <w:rPr>
          <w:rFonts w:ascii="Times New Roman" w:eastAsia="MS Mincho" w:hAnsi="Times New Roman" w:cs="Times New Roman"/>
          <w:lang w:eastAsia="ja-JP"/>
        </w:rPr>
        <w:t xml:space="preserve"> may occur</w:t>
      </w:r>
      <w:r w:rsidR="00C7591B" w:rsidRPr="00C821D9">
        <w:rPr>
          <w:rFonts w:ascii="Times New Roman" w:eastAsia="MS Mincho" w:hAnsi="Times New Roman" w:cs="Times New Roman"/>
          <w:lang w:eastAsia="ja-JP"/>
        </w:rPr>
        <w:t xml:space="preserve"> at SCell slot k</w:t>
      </w:r>
      <w:r w:rsidR="008061FD">
        <w:rPr>
          <w:rFonts w:ascii="Times New Roman" w:eastAsia="MS Mincho" w:hAnsi="Times New Roman" w:cs="Times New Roman"/>
          <w:lang w:eastAsia="ja-JP"/>
        </w:rPr>
        <w:t xml:space="preserve"> (orange)</w:t>
      </w:r>
      <w:r w:rsidR="00C7591B" w:rsidRPr="00C821D9">
        <w:rPr>
          <w:rFonts w:ascii="Times New Roman" w:eastAsia="MS Mincho" w:hAnsi="Times New Roman" w:cs="Times New Roman"/>
          <w:lang w:eastAsia="ja-JP"/>
        </w:rPr>
        <w:t>, which occurs at the same tim</w:t>
      </w:r>
      <w:r w:rsidR="008061FD">
        <w:rPr>
          <w:rFonts w:ascii="Times New Roman" w:eastAsia="MS Mincho" w:hAnsi="Times New Roman" w:cs="Times New Roman"/>
          <w:lang w:eastAsia="ja-JP"/>
        </w:rPr>
        <w:t>e as total DAI transmission</w:t>
      </w:r>
      <w:r w:rsidR="00C7591B" w:rsidRPr="00C821D9">
        <w:rPr>
          <w:rFonts w:ascii="Times New Roman" w:eastAsia="MS Mincho" w:hAnsi="Times New Roman" w:cs="Times New Roman"/>
          <w:lang w:eastAsia="ja-JP"/>
        </w:rPr>
        <w:t xml:space="preserve"> on PCell slot n.</w:t>
      </w:r>
      <w:r w:rsidR="008061FD">
        <w:rPr>
          <w:rFonts w:ascii="Times New Roman" w:eastAsia="MS Mincho" w:hAnsi="Times New Roman" w:cs="Times New Roman"/>
          <w:lang w:eastAsia="ja-JP"/>
        </w:rPr>
        <w:t xml:space="preserve"> Obviously this prevents accurate scheduling prediction. </w:t>
      </w:r>
      <w:r w:rsidR="008061FD">
        <w:rPr>
          <w:rFonts w:ascii="Times New Roman" w:hAnsi="Times New Roman" w:cs="Times New Roman"/>
        </w:rPr>
        <w:t>In the example, minimum processing time of 1 slot + 0.25 ms is assumed for UE and 2 slot + 0.25 ms for gNB, rounded upwards to align with slot structure.</w:t>
      </w:r>
      <w:r w:rsidR="00C7591B" w:rsidRPr="00C821D9">
        <w:rPr>
          <w:rFonts w:ascii="Times New Roman" w:eastAsia="MS Mincho" w:hAnsi="Times New Roman" w:cs="Times New Roman"/>
          <w:lang w:eastAsia="ja-JP"/>
        </w:rPr>
        <w:t xml:space="preserve"> </w:t>
      </w:r>
    </w:p>
    <w:p w14:paraId="7982A8D8" w14:textId="2009530F" w:rsidR="009A6AFB" w:rsidRPr="00C821D9" w:rsidRDefault="00FA24C0">
      <w:pPr>
        <w:jc w:val="both"/>
        <w:rPr>
          <w:rFonts w:ascii="Times New Roman" w:eastAsia="MS Mincho" w:hAnsi="Times New Roman" w:cs="Times New Roman"/>
          <w:lang w:eastAsia="ja-JP"/>
        </w:rPr>
      </w:pPr>
      <w:r w:rsidRPr="00C821D9">
        <w:rPr>
          <w:rFonts w:ascii="Times New Roman" w:eastAsia="MS Mincho" w:hAnsi="Times New Roman" w:cs="Times New Roman"/>
          <w:lang w:eastAsia="ja-JP"/>
        </w:rPr>
        <w:t>On other hand</w:t>
      </w:r>
      <w:r w:rsidR="0092052D" w:rsidRPr="00C821D9">
        <w:rPr>
          <w:rFonts w:ascii="Times New Roman" w:eastAsia="MS Mincho" w:hAnsi="Times New Roman" w:cs="Times New Roman"/>
          <w:lang w:eastAsia="ja-JP"/>
        </w:rPr>
        <w:t>,</w:t>
      </w:r>
      <w:r w:rsidR="009A6AFB" w:rsidRPr="00C821D9">
        <w:rPr>
          <w:rFonts w:ascii="Times New Roman" w:eastAsia="MS Mincho" w:hAnsi="Times New Roman" w:cs="Times New Roman"/>
          <w:lang w:eastAsia="ja-JP"/>
        </w:rPr>
        <w:t xml:space="preserve"> scheduling restriction affects the scheduling decisions on last DL slots possibly associated with the codebook. </w:t>
      </w:r>
      <w:r w:rsidRPr="00C821D9">
        <w:rPr>
          <w:rFonts w:ascii="Times New Roman" w:eastAsia="MS Mincho" w:hAnsi="Times New Roman" w:cs="Times New Roman"/>
          <w:lang w:eastAsia="ja-JP"/>
        </w:rPr>
        <w:t>For example, gNB may need to postpone PDSCH HARQ feedback to next DL association set</w:t>
      </w:r>
      <w:r w:rsidR="00606AD9">
        <w:rPr>
          <w:rFonts w:ascii="Times New Roman" w:eastAsia="MS Mincho" w:hAnsi="Times New Roman" w:cs="Times New Roman"/>
          <w:lang w:eastAsia="ja-JP"/>
        </w:rPr>
        <w:t>, if is not able to perform scheduling sufficiently in advance, e.g. due to suddenly arriving traffic or the re-tx issue described above</w:t>
      </w:r>
      <w:r w:rsidRPr="00C821D9">
        <w:rPr>
          <w:rFonts w:ascii="Times New Roman" w:eastAsia="MS Mincho" w:hAnsi="Times New Roman" w:cs="Times New Roman"/>
          <w:lang w:eastAsia="ja-JP"/>
        </w:rPr>
        <w:t>.</w:t>
      </w:r>
      <w:r w:rsidR="009A6AFB" w:rsidRPr="00C821D9">
        <w:rPr>
          <w:rFonts w:ascii="Times New Roman" w:eastAsia="MS Mincho" w:hAnsi="Times New Roman" w:cs="Times New Roman"/>
          <w:lang w:eastAsia="ja-JP"/>
        </w:rPr>
        <w:t xml:space="preserve"> </w:t>
      </w:r>
      <w:r w:rsidRPr="00C821D9">
        <w:rPr>
          <w:rFonts w:ascii="Times New Roman" w:eastAsia="MS Mincho" w:hAnsi="Times New Roman" w:cs="Times New Roman"/>
          <w:lang w:eastAsia="ja-JP"/>
        </w:rPr>
        <w:t xml:space="preserve">As the scheduling </w:t>
      </w:r>
      <w:r w:rsidR="009A6AFB" w:rsidRPr="00C821D9">
        <w:rPr>
          <w:rFonts w:ascii="Times New Roman" w:eastAsia="MS Mincho" w:hAnsi="Times New Roman" w:cs="Times New Roman"/>
          <w:lang w:eastAsia="ja-JP"/>
        </w:rPr>
        <w:t>restriction</w:t>
      </w:r>
      <w:r w:rsidRPr="00C821D9">
        <w:rPr>
          <w:rFonts w:ascii="Times New Roman" w:eastAsia="MS Mincho" w:hAnsi="Times New Roman" w:cs="Times New Roman"/>
          <w:lang w:eastAsia="ja-JP"/>
        </w:rPr>
        <w:t xml:space="preserve"> affects DL CC with short processing times, it</w:t>
      </w:r>
      <w:r w:rsidR="009A6AFB" w:rsidRPr="00C821D9">
        <w:rPr>
          <w:rFonts w:ascii="Times New Roman" w:eastAsia="MS Mincho" w:hAnsi="Times New Roman" w:cs="Times New Roman"/>
          <w:lang w:eastAsia="ja-JP"/>
        </w:rPr>
        <w:t xml:space="preserve"> may result in increased latency on DL CC p</w:t>
      </w:r>
      <w:r w:rsidRPr="00C821D9">
        <w:rPr>
          <w:rFonts w:ascii="Times New Roman" w:eastAsia="MS Mincho" w:hAnsi="Times New Roman" w:cs="Times New Roman"/>
          <w:lang w:eastAsia="ja-JP"/>
        </w:rPr>
        <w:t>referred</w:t>
      </w:r>
      <w:r w:rsidR="009A6AFB" w:rsidRPr="00C821D9">
        <w:rPr>
          <w:rFonts w:ascii="Times New Roman" w:eastAsia="MS Mincho" w:hAnsi="Times New Roman" w:cs="Times New Roman"/>
          <w:lang w:eastAsia="ja-JP"/>
        </w:rPr>
        <w:t xml:space="preserve"> for short latency</w:t>
      </w:r>
      <w:r w:rsidR="00606AD9">
        <w:rPr>
          <w:rFonts w:ascii="Times New Roman" w:eastAsia="MS Mincho" w:hAnsi="Times New Roman" w:cs="Times New Roman"/>
          <w:lang w:eastAsia="ja-JP"/>
        </w:rPr>
        <w:t xml:space="preserve">, which is </w:t>
      </w:r>
      <w:r w:rsidR="00B70F65">
        <w:rPr>
          <w:rFonts w:ascii="Times New Roman" w:eastAsia="MS Mincho" w:hAnsi="Times New Roman" w:cs="Times New Roman"/>
          <w:lang w:eastAsia="ja-JP"/>
        </w:rPr>
        <w:t>unacceptable</w:t>
      </w:r>
      <w:r w:rsidR="009A6AFB" w:rsidRPr="00C821D9">
        <w:rPr>
          <w:rFonts w:ascii="Times New Roman" w:eastAsia="MS Mincho" w:hAnsi="Times New Roman" w:cs="Times New Roman"/>
          <w:lang w:eastAsia="ja-JP"/>
        </w:rPr>
        <w:t xml:space="preserve">.  </w:t>
      </w:r>
    </w:p>
    <w:p w14:paraId="43AADD75" w14:textId="3DD77964" w:rsidR="00A370FB" w:rsidRDefault="008061FD" w:rsidP="00C821D9">
      <w:pPr>
        <w:spacing w:after="0"/>
        <w:jc w:val="center"/>
      </w:pPr>
      <w:r w:rsidRPr="008061FD">
        <w:rPr>
          <w:noProof/>
        </w:rPr>
        <w:drawing>
          <wp:inline distT="0" distB="0" distL="0" distR="0" wp14:anchorId="73222E74" wp14:editId="45D8C7FA">
            <wp:extent cx="4860000" cy="1342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0000" cy="1342800"/>
                    </a:xfrm>
                    <a:prstGeom prst="rect">
                      <a:avLst/>
                    </a:prstGeom>
                    <a:noFill/>
                    <a:ln>
                      <a:noFill/>
                    </a:ln>
                  </pic:spPr>
                </pic:pic>
              </a:graphicData>
            </a:graphic>
          </wp:inline>
        </w:drawing>
      </w:r>
      <w:r w:rsidRPr="008061FD" w:rsidDel="008061FD">
        <w:t xml:space="preserve"> </w:t>
      </w:r>
    </w:p>
    <w:p w14:paraId="1D620483" w14:textId="7FF11C3E" w:rsidR="00A370FB" w:rsidRPr="00A370FB" w:rsidRDefault="00A370FB" w:rsidP="00A370FB">
      <w:pPr>
        <w:pStyle w:val="Caption"/>
        <w:jc w:val="center"/>
        <w:rPr>
          <w:rFonts w:ascii="Times New Roman" w:hAnsi="Times New Roman" w:cs="Times New Roman"/>
        </w:rPr>
      </w:pPr>
      <w:r>
        <w:t xml:space="preserve">Figure </w:t>
      </w:r>
      <w:r w:rsidRPr="00A370FB">
        <w:rPr>
          <w:lang w:val="en-US"/>
        </w:rPr>
        <w:t xml:space="preserve">5. </w:t>
      </w:r>
      <w:r>
        <w:rPr>
          <w:lang w:val="en-US"/>
        </w:rPr>
        <w:t>Challenges of joint DAI over CCs with different processing times – gNB may need to decide on scheduling before receiving latest HARQ feedback from previous transmission.</w:t>
      </w:r>
    </w:p>
    <w:p w14:paraId="24944CD3" w14:textId="285CE059" w:rsidR="009A6AFB" w:rsidRPr="005342CB" w:rsidRDefault="009A6AFB" w:rsidP="009A6AFB">
      <w:pPr>
        <w:jc w:val="both"/>
        <w:rPr>
          <w:rFonts w:ascii="Times New Roman" w:eastAsia="MS Mincho" w:hAnsi="Times New Roman" w:cs="Times New Roman"/>
          <w:lang w:eastAsia="ja-JP"/>
        </w:rPr>
      </w:pPr>
      <w:r w:rsidRPr="00A370FB">
        <w:rPr>
          <w:rFonts w:ascii="Times New Roman" w:eastAsia="MS Mincho" w:hAnsi="Times New Roman" w:cs="Times New Roman"/>
          <w:lang w:eastAsia="ja-JP"/>
        </w:rPr>
        <w:t xml:space="preserve">In the HARQ codebook determination, special attention is needed also on HARQ ACK reporting for mini-slots and CBG-based PDSCH. These aspects we address </w:t>
      </w:r>
      <w:r w:rsidR="0092052D">
        <w:rPr>
          <w:rFonts w:ascii="Times New Roman" w:eastAsia="MS Mincho" w:hAnsi="Times New Roman" w:cs="Times New Roman"/>
          <w:lang w:eastAsia="ja-JP"/>
        </w:rPr>
        <w:t xml:space="preserve">on our companion </w:t>
      </w:r>
      <w:r w:rsidR="0092052D" w:rsidRPr="0092052D">
        <w:rPr>
          <w:rFonts w:ascii="Times New Roman" w:eastAsia="MS Mincho" w:hAnsi="Times New Roman" w:cs="Times New Roman"/>
          <w:lang w:eastAsia="ja-JP"/>
        </w:rPr>
        <w:t xml:space="preserve">contributions </w:t>
      </w:r>
      <w:r w:rsidR="0092052D" w:rsidRPr="00606AD9">
        <w:rPr>
          <w:rFonts w:ascii="Times New Roman" w:eastAsia="MS Mincho" w:hAnsi="Times New Roman" w:cs="Times New Roman"/>
          <w:lang w:eastAsia="ja-JP"/>
        </w:rPr>
        <w:fldChar w:fldCharType="begin"/>
      </w:r>
      <w:r w:rsidR="0092052D" w:rsidRPr="0092052D">
        <w:rPr>
          <w:rFonts w:ascii="Times New Roman" w:eastAsia="MS Mincho" w:hAnsi="Times New Roman" w:cs="Times New Roman"/>
          <w:lang w:eastAsia="ja-JP"/>
        </w:rPr>
        <w:instrText xml:space="preserve"> REF _Ref492889311 \n </w:instrText>
      </w:r>
      <w:r w:rsidR="0092052D">
        <w:rPr>
          <w:rFonts w:ascii="Times New Roman" w:eastAsia="MS Mincho" w:hAnsi="Times New Roman" w:cs="Times New Roman"/>
          <w:lang w:eastAsia="ja-JP"/>
        </w:rPr>
        <w:instrText xml:space="preserve"> \* MERGEFORMAT </w:instrText>
      </w:r>
      <w:r w:rsidR="0092052D" w:rsidRPr="00606AD9">
        <w:rPr>
          <w:rFonts w:ascii="Times New Roman" w:eastAsia="MS Mincho" w:hAnsi="Times New Roman" w:cs="Times New Roman"/>
          <w:lang w:eastAsia="ja-JP"/>
        </w:rPr>
        <w:fldChar w:fldCharType="separate"/>
      </w:r>
      <w:r w:rsidR="00AE2327">
        <w:rPr>
          <w:rFonts w:ascii="Times New Roman" w:eastAsia="MS Mincho" w:hAnsi="Times New Roman" w:cs="Times New Roman"/>
          <w:lang w:eastAsia="ja-JP"/>
        </w:rPr>
        <w:t>[2]</w:t>
      </w:r>
      <w:r w:rsidR="0092052D" w:rsidRPr="00606AD9">
        <w:rPr>
          <w:rFonts w:ascii="Times New Roman" w:eastAsia="MS Mincho" w:hAnsi="Times New Roman" w:cs="Times New Roman"/>
          <w:lang w:eastAsia="ja-JP"/>
        </w:rPr>
        <w:fldChar w:fldCharType="end"/>
      </w:r>
      <w:r w:rsidR="0092052D" w:rsidRPr="0092052D">
        <w:rPr>
          <w:rFonts w:ascii="Times New Roman" w:eastAsia="MS Mincho" w:hAnsi="Times New Roman" w:cs="Times New Roman"/>
          <w:lang w:eastAsia="ja-JP"/>
        </w:rPr>
        <w:t xml:space="preserve"> and </w:t>
      </w:r>
      <w:r w:rsidR="0092052D" w:rsidRPr="00606AD9">
        <w:rPr>
          <w:rFonts w:ascii="Times New Roman" w:eastAsia="MS Mincho" w:hAnsi="Times New Roman" w:cs="Times New Roman"/>
          <w:lang w:eastAsia="ja-JP"/>
        </w:rPr>
        <w:fldChar w:fldCharType="begin"/>
      </w:r>
      <w:r w:rsidR="0092052D" w:rsidRPr="0092052D">
        <w:rPr>
          <w:rFonts w:ascii="Times New Roman" w:eastAsia="MS Mincho" w:hAnsi="Times New Roman" w:cs="Times New Roman"/>
          <w:lang w:eastAsia="ja-JP"/>
        </w:rPr>
        <w:instrText xml:space="preserve"> REF _Ref492889337 \n </w:instrText>
      </w:r>
      <w:r w:rsidR="0092052D">
        <w:rPr>
          <w:rFonts w:ascii="Times New Roman" w:eastAsia="MS Mincho" w:hAnsi="Times New Roman" w:cs="Times New Roman"/>
          <w:lang w:eastAsia="ja-JP"/>
        </w:rPr>
        <w:instrText xml:space="preserve"> \* MERGEFORMAT </w:instrText>
      </w:r>
      <w:r w:rsidR="0092052D" w:rsidRPr="00606AD9">
        <w:rPr>
          <w:rFonts w:ascii="Times New Roman" w:eastAsia="MS Mincho" w:hAnsi="Times New Roman" w:cs="Times New Roman"/>
          <w:lang w:eastAsia="ja-JP"/>
        </w:rPr>
        <w:fldChar w:fldCharType="separate"/>
      </w:r>
      <w:r w:rsidR="00AE2327">
        <w:rPr>
          <w:rFonts w:ascii="Times New Roman" w:eastAsia="MS Mincho" w:hAnsi="Times New Roman" w:cs="Times New Roman"/>
          <w:lang w:eastAsia="ja-JP"/>
        </w:rPr>
        <w:t>[3]</w:t>
      </w:r>
      <w:r w:rsidR="0092052D" w:rsidRPr="00606AD9">
        <w:rPr>
          <w:rFonts w:ascii="Times New Roman" w:eastAsia="MS Mincho" w:hAnsi="Times New Roman" w:cs="Times New Roman"/>
          <w:lang w:eastAsia="ja-JP"/>
        </w:rPr>
        <w:fldChar w:fldCharType="end"/>
      </w:r>
      <w:r w:rsidR="0092052D" w:rsidRPr="0092052D">
        <w:rPr>
          <w:rFonts w:ascii="Times New Roman" w:eastAsia="MS Mincho" w:hAnsi="Times New Roman" w:cs="Times New Roman"/>
          <w:lang w:eastAsia="ja-JP"/>
        </w:rPr>
        <w:t>.</w:t>
      </w:r>
    </w:p>
    <w:p w14:paraId="6853F2EC" w14:textId="38BD79D1" w:rsidR="009A6AFB" w:rsidRPr="005342CB" w:rsidRDefault="009A6AFB" w:rsidP="009A6AFB">
      <w:pPr>
        <w:spacing w:after="240"/>
        <w:jc w:val="both"/>
        <w:rPr>
          <w:rFonts w:ascii="Times New Roman" w:hAnsi="Times New Roman" w:cs="Times New Roman"/>
          <w:b/>
        </w:rPr>
      </w:pPr>
      <w:r w:rsidRPr="005342CB">
        <w:rPr>
          <w:rFonts w:ascii="Times New Roman" w:hAnsi="Times New Roman" w:cs="Times New Roman"/>
          <w:b/>
        </w:rPr>
        <w:t>Proposal-</w:t>
      </w:r>
      <w:r w:rsidR="00E24280" w:rsidRPr="005342CB">
        <w:rPr>
          <w:rFonts w:ascii="Times New Roman" w:hAnsi="Times New Roman" w:cs="Times New Roman"/>
          <w:b/>
        </w:rPr>
        <w:t>10</w:t>
      </w:r>
      <w:r w:rsidRPr="005342CB">
        <w:rPr>
          <w:rFonts w:ascii="Times New Roman" w:hAnsi="Times New Roman" w:cs="Times New Roman"/>
          <w:b/>
        </w:rPr>
        <w:t>: In case of dynamic codebook determination, HARQ ACK sub-codebook is determined separately for each DL CC set sharing</w:t>
      </w:r>
      <w:r w:rsidRPr="005342CB">
        <w:rPr>
          <w:rFonts w:ascii="Times New Roman" w:eastAsia="MS Mincho" w:hAnsi="Times New Roman" w:cs="Times New Roman"/>
          <w:b/>
          <w:lang w:eastAsia="ja-JP"/>
        </w:rPr>
        <w:t xml:space="preserve"> the same </w:t>
      </w:r>
      <w:r w:rsidRPr="005342CB">
        <w:rPr>
          <w:rFonts w:ascii="Times New Roman" w:hAnsi="Times New Roman" w:cs="Times New Roman"/>
          <w:b/>
        </w:rPr>
        <w:t>UE minimum (configured) processing time.</w:t>
      </w:r>
    </w:p>
    <w:p w14:paraId="475CAA38" w14:textId="2F50E1E6" w:rsidR="00DD4447" w:rsidRPr="005342CB" w:rsidRDefault="009A6AFB" w:rsidP="009A6AFB">
      <w:pPr>
        <w:spacing w:after="120"/>
        <w:jc w:val="both"/>
        <w:rPr>
          <w:rFonts w:eastAsia="MS Mincho"/>
          <w:b/>
          <w:i/>
          <w:lang w:eastAsia="ja-JP"/>
        </w:rPr>
      </w:pPr>
      <w:r w:rsidRPr="005342CB">
        <w:rPr>
          <w:rFonts w:ascii="Times New Roman" w:hAnsi="Times New Roman" w:cs="Times New Roman"/>
          <w:b/>
        </w:rPr>
        <w:lastRenderedPageBreak/>
        <w:t>Proposal-</w:t>
      </w:r>
      <w:r w:rsidR="00E24280" w:rsidRPr="005342CB">
        <w:rPr>
          <w:rFonts w:ascii="Times New Roman" w:hAnsi="Times New Roman" w:cs="Times New Roman"/>
          <w:b/>
        </w:rPr>
        <w:t>11</w:t>
      </w:r>
      <w:r w:rsidRPr="005342CB">
        <w:rPr>
          <w:rFonts w:ascii="Times New Roman" w:hAnsi="Times New Roman" w:cs="Times New Roman"/>
          <w:b/>
        </w:rPr>
        <w:t>: In case of dynamic codebook determination, counter DAI and total DAI mechanism are used in the HARQ ACK codebook determination.</w:t>
      </w:r>
    </w:p>
    <w:p w14:paraId="6D3C63D9" w14:textId="502AE223" w:rsidR="001600F0" w:rsidRPr="001600F0" w:rsidRDefault="001600F0" w:rsidP="001600F0">
      <w:pPr>
        <w:keepNext/>
        <w:keepLines/>
        <w:pBdr>
          <w:top w:val="single" w:sz="12" w:space="16"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5</w:t>
      </w:r>
      <w:r w:rsidRPr="001600F0">
        <w:rPr>
          <w:rFonts w:ascii="Arial" w:eastAsia="SimSun" w:hAnsi="Arial" w:cs="Times New Roman"/>
          <w:sz w:val="36"/>
          <w:szCs w:val="20"/>
          <w:lang w:val="en-GB"/>
        </w:rPr>
        <w:t xml:space="preserve"> </w:t>
      </w:r>
      <w:r>
        <w:rPr>
          <w:rFonts w:ascii="Arial" w:eastAsia="SimSun" w:hAnsi="Arial" w:cs="Times New Roman"/>
          <w:sz w:val="36"/>
          <w:szCs w:val="20"/>
          <w:lang w:val="en-GB"/>
        </w:rPr>
        <w:t>TAG design in NR</w:t>
      </w:r>
    </w:p>
    <w:p w14:paraId="16624E8C" w14:textId="2CDBC5BD" w:rsidR="000A79F5" w:rsidRDefault="00646D8E" w:rsidP="001600F0">
      <w:pPr>
        <w:pStyle w:val="BodyText"/>
        <w:tabs>
          <w:tab w:val="left" w:pos="648"/>
        </w:tabs>
        <w:overflowPunct/>
        <w:autoSpaceDE/>
        <w:autoSpaceDN/>
        <w:adjustRightInd/>
        <w:jc w:val="both"/>
        <w:textAlignment w:val="auto"/>
        <w:rPr>
          <w:sz w:val="22"/>
          <w:szCs w:val="22"/>
          <w:lang w:val="en-US" w:eastAsia="zh-CN"/>
        </w:rPr>
      </w:pPr>
      <w:r>
        <w:rPr>
          <w:sz w:val="22"/>
          <w:szCs w:val="22"/>
          <w:lang w:val="en-US" w:eastAsia="zh-CN"/>
        </w:rPr>
        <w:t xml:space="preserve">In RAN1#90, uplink timing was discussed and agreements were reached for the scenario where all carriers use 15 kHz SCS. One of the open issues is whether single TAG can </w:t>
      </w:r>
      <w:r w:rsidR="000A79F5">
        <w:rPr>
          <w:sz w:val="22"/>
          <w:szCs w:val="22"/>
          <w:lang w:val="en-US" w:eastAsia="zh-CN"/>
        </w:rPr>
        <w:t>contain component carrier</w:t>
      </w:r>
      <w:r w:rsidR="00143732">
        <w:rPr>
          <w:sz w:val="22"/>
          <w:szCs w:val="22"/>
          <w:lang w:val="en-US" w:eastAsia="zh-CN"/>
        </w:rPr>
        <w:t>s/BWPs</w:t>
      </w:r>
      <w:r w:rsidR="000A79F5">
        <w:rPr>
          <w:sz w:val="22"/>
          <w:szCs w:val="22"/>
          <w:lang w:val="en-US" w:eastAsia="zh-CN"/>
        </w:rPr>
        <w:t xml:space="preserve"> </w:t>
      </w:r>
      <w:r w:rsidR="00143732">
        <w:rPr>
          <w:sz w:val="22"/>
          <w:szCs w:val="22"/>
          <w:lang w:val="en-US" w:eastAsia="zh-CN"/>
        </w:rPr>
        <w:t xml:space="preserve">of </w:t>
      </w:r>
      <w:r w:rsidR="000A79F5">
        <w:rPr>
          <w:sz w:val="22"/>
          <w:szCs w:val="22"/>
          <w:lang w:val="en-US" w:eastAsia="zh-CN"/>
        </w:rPr>
        <w:t xml:space="preserve">different numerology or should </w:t>
      </w:r>
      <w:r w:rsidR="00143732">
        <w:rPr>
          <w:sz w:val="22"/>
          <w:szCs w:val="22"/>
          <w:lang w:val="en-US" w:eastAsia="zh-CN"/>
        </w:rPr>
        <w:t xml:space="preserve">a single </w:t>
      </w:r>
      <w:r w:rsidR="000A79F5">
        <w:rPr>
          <w:sz w:val="22"/>
          <w:szCs w:val="22"/>
          <w:lang w:val="en-US" w:eastAsia="zh-CN"/>
        </w:rPr>
        <w:t>TAG</w:t>
      </w:r>
      <w:r w:rsidR="00143732">
        <w:rPr>
          <w:sz w:val="22"/>
          <w:szCs w:val="22"/>
          <w:lang w:val="en-US" w:eastAsia="zh-CN"/>
        </w:rPr>
        <w:t xml:space="preserve"> contain only carriers/BWPs of the same numerology</w:t>
      </w:r>
      <w:r w:rsidR="000A79F5">
        <w:rPr>
          <w:sz w:val="22"/>
          <w:szCs w:val="22"/>
          <w:lang w:val="en-US" w:eastAsia="zh-CN"/>
        </w:rPr>
        <w:t xml:space="preserve">. It should be noted that: </w:t>
      </w:r>
    </w:p>
    <w:p w14:paraId="7EB83C45" w14:textId="1CB99153" w:rsidR="000A79F5" w:rsidRDefault="000A79F5" w:rsidP="000A79F5">
      <w:pPr>
        <w:pStyle w:val="BodyText"/>
        <w:numPr>
          <w:ilvl w:val="0"/>
          <w:numId w:val="18"/>
        </w:numPr>
        <w:tabs>
          <w:tab w:val="left" w:pos="648"/>
        </w:tabs>
        <w:overflowPunct/>
        <w:autoSpaceDE/>
        <w:autoSpaceDN/>
        <w:adjustRightInd/>
        <w:jc w:val="both"/>
        <w:textAlignment w:val="auto"/>
        <w:rPr>
          <w:sz w:val="22"/>
          <w:szCs w:val="22"/>
          <w:lang w:val="en-US" w:eastAsia="zh-CN"/>
        </w:rPr>
      </w:pPr>
      <w:r>
        <w:rPr>
          <w:sz w:val="22"/>
          <w:szCs w:val="22"/>
          <w:lang w:val="en-US" w:eastAsia="zh-CN"/>
        </w:rPr>
        <w:t>In LTE, TAGs are used to facilitate UE</w:t>
      </w:r>
      <w:r>
        <w:rPr>
          <w:sz w:val="22"/>
          <w:szCs w:val="22"/>
          <w:lang w:val="en-US" w:eastAsia="zh-CN"/>
        </w:rPr>
        <w:t>’</w:t>
      </w:r>
      <w:r>
        <w:rPr>
          <w:sz w:val="22"/>
          <w:szCs w:val="22"/>
          <w:lang w:val="en-US" w:eastAsia="zh-CN"/>
        </w:rPr>
        <w:t xml:space="preserve">s UL timing for carriers that are not co-located and cannot share </w:t>
      </w:r>
      <w:r w:rsidR="00143732">
        <w:rPr>
          <w:sz w:val="22"/>
          <w:szCs w:val="22"/>
          <w:lang w:val="en-US" w:eastAsia="zh-CN"/>
        </w:rPr>
        <w:t xml:space="preserve">the </w:t>
      </w:r>
      <w:r>
        <w:rPr>
          <w:sz w:val="22"/>
          <w:szCs w:val="22"/>
          <w:lang w:val="en-US" w:eastAsia="zh-CN"/>
        </w:rPr>
        <w:t xml:space="preserve">same DL timing reference. On other hand, by grouping carriers that can share same DL timing reference to same TAG avoids the unnecessary </w:t>
      </w:r>
      <w:r w:rsidR="005C36BE">
        <w:rPr>
          <w:sz w:val="22"/>
          <w:szCs w:val="22"/>
          <w:lang w:val="en-US" w:eastAsia="zh-CN"/>
        </w:rPr>
        <w:t xml:space="preserve">signaling </w:t>
      </w:r>
      <w:r>
        <w:rPr>
          <w:sz w:val="22"/>
          <w:szCs w:val="22"/>
          <w:lang w:val="en-US" w:eastAsia="zh-CN"/>
        </w:rPr>
        <w:t xml:space="preserve">overhead </w:t>
      </w:r>
      <w:r w:rsidR="00C2526E">
        <w:rPr>
          <w:sz w:val="22"/>
          <w:szCs w:val="22"/>
          <w:lang w:val="en-US" w:eastAsia="zh-CN"/>
        </w:rPr>
        <w:t>that would be caused by carrier specific UL timing maintenance</w:t>
      </w:r>
      <w:r>
        <w:rPr>
          <w:sz w:val="22"/>
          <w:szCs w:val="22"/>
          <w:lang w:val="en-US" w:eastAsia="zh-CN"/>
        </w:rPr>
        <w:t xml:space="preserve">.    </w:t>
      </w:r>
    </w:p>
    <w:p w14:paraId="5339282B" w14:textId="058BE0C2" w:rsidR="000A79F5" w:rsidRPr="00550869" w:rsidRDefault="000A79F5" w:rsidP="000A79F5">
      <w:pPr>
        <w:pStyle w:val="BodyText"/>
        <w:numPr>
          <w:ilvl w:val="0"/>
          <w:numId w:val="18"/>
        </w:numPr>
        <w:tabs>
          <w:tab w:val="left" w:pos="648"/>
        </w:tabs>
        <w:overflowPunct/>
        <w:autoSpaceDE/>
        <w:autoSpaceDN/>
        <w:adjustRightInd/>
        <w:jc w:val="both"/>
        <w:textAlignment w:val="auto"/>
        <w:rPr>
          <w:sz w:val="22"/>
          <w:szCs w:val="22"/>
          <w:lang w:val="en-US" w:eastAsia="zh-CN"/>
        </w:rPr>
      </w:pPr>
      <w:r>
        <w:rPr>
          <w:sz w:val="22"/>
          <w:szCs w:val="22"/>
          <w:lang w:val="en-US" w:eastAsia="zh-CN"/>
        </w:rPr>
        <w:t>Carriers w</w:t>
      </w:r>
      <w:r w:rsidRPr="00550869">
        <w:rPr>
          <w:sz w:val="22"/>
          <w:szCs w:val="22"/>
          <w:lang w:val="en-US" w:eastAsia="zh-CN"/>
        </w:rPr>
        <w:t xml:space="preserve">ith different numerologies </w:t>
      </w:r>
      <w:r w:rsidR="00C2526E" w:rsidRPr="00550869">
        <w:rPr>
          <w:sz w:val="22"/>
          <w:szCs w:val="22"/>
          <w:lang w:val="en-US" w:eastAsia="zh-CN"/>
        </w:rPr>
        <w:t xml:space="preserve">require different minimum accuracy in UL timing. TA granularity of 0.52us is clearly sufficient for 15 kHz SCS with 4.7 us CP, but is insufficient for e.g. 60 kHz SCS with 1.2 us CP. </w:t>
      </w:r>
      <w:r w:rsidRPr="00550869">
        <w:rPr>
          <w:sz w:val="22"/>
          <w:szCs w:val="22"/>
          <w:lang w:val="en-US" w:eastAsia="zh-CN"/>
        </w:rPr>
        <w:t xml:space="preserve"> </w:t>
      </w:r>
    </w:p>
    <w:p w14:paraId="623A2DE5" w14:textId="57ECA3A6" w:rsidR="00C2526E" w:rsidRPr="00550869" w:rsidRDefault="00C2526E" w:rsidP="000A79F5">
      <w:pPr>
        <w:pStyle w:val="BodyText"/>
        <w:numPr>
          <w:ilvl w:val="0"/>
          <w:numId w:val="18"/>
        </w:numPr>
        <w:tabs>
          <w:tab w:val="left" w:pos="648"/>
        </w:tabs>
        <w:overflowPunct/>
        <w:autoSpaceDE/>
        <w:autoSpaceDN/>
        <w:adjustRightInd/>
        <w:jc w:val="both"/>
        <w:textAlignment w:val="auto"/>
        <w:rPr>
          <w:sz w:val="22"/>
          <w:szCs w:val="22"/>
          <w:lang w:val="en-US" w:eastAsia="zh-CN"/>
        </w:rPr>
      </w:pPr>
      <w:r w:rsidRPr="00550869">
        <w:rPr>
          <w:sz w:val="22"/>
          <w:szCs w:val="22"/>
          <w:lang w:val="en-US" w:eastAsia="zh-CN"/>
        </w:rPr>
        <w:t>However, carriers</w:t>
      </w:r>
      <w:r w:rsidR="00550869">
        <w:rPr>
          <w:sz w:val="22"/>
          <w:szCs w:val="22"/>
          <w:lang w:val="en-US" w:eastAsia="zh-CN"/>
        </w:rPr>
        <w:t>/BWPs</w:t>
      </w:r>
      <w:r w:rsidRPr="00550869">
        <w:rPr>
          <w:sz w:val="22"/>
          <w:szCs w:val="22"/>
          <w:lang w:val="en-US" w:eastAsia="zh-CN"/>
        </w:rPr>
        <w:t xml:space="preserve"> with different numerologies can share </w:t>
      </w:r>
      <w:r w:rsidR="00550869">
        <w:rPr>
          <w:sz w:val="22"/>
          <w:szCs w:val="22"/>
          <w:lang w:val="en-US" w:eastAsia="zh-CN"/>
        </w:rPr>
        <w:t xml:space="preserve">the </w:t>
      </w:r>
      <w:r w:rsidR="00574026" w:rsidRPr="00550869">
        <w:rPr>
          <w:sz w:val="22"/>
          <w:szCs w:val="22"/>
          <w:lang w:val="en-US" w:eastAsia="zh-CN"/>
        </w:rPr>
        <w:t>same timing reference and TA value when both are sufficiently accurate for all</w:t>
      </w:r>
      <w:r w:rsidR="004A13C3" w:rsidRPr="00550869">
        <w:rPr>
          <w:sz w:val="22"/>
          <w:szCs w:val="22"/>
          <w:lang w:val="en-US" w:eastAsia="zh-CN"/>
        </w:rPr>
        <w:t xml:space="preserve"> configured</w:t>
      </w:r>
      <w:r w:rsidR="00574026" w:rsidRPr="00550869">
        <w:rPr>
          <w:sz w:val="22"/>
          <w:szCs w:val="22"/>
          <w:lang w:val="en-US" w:eastAsia="zh-CN"/>
        </w:rPr>
        <w:t xml:space="preserve"> numerologies.</w:t>
      </w:r>
    </w:p>
    <w:p w14:paraId="2B4E7D42" w14:textId="2459191A" w:rsidR="00574026" w:rsidRPr="00550869" w:rsidRDefault="00574026" w:rsidP="00574026">
      <w:pPr>
        <w:pStyle w:val="BodyText"/>
        <w:tabs>
          <w:tab w:val="left" w:pos="648"/>
        </w:tabs>
        <w:overflowPunct/>
        <w:autoSpaceDE/>
        <w:autoSpaceDN/>
        <w:adjustRightInd/>
        <w:jc w:val="both"/>
        <w:textAlignment w:val="auto"/>
        <w:rPr>
          <w:sz w:val="22"/>
          <w:szCs w:val="22"/>
          <w:lang w:val="en-US" w:eastAsia="zh-CN"/>
        </w:rPr>
      </w:pPr>
      <w:r w:rsidRPr="00550869">
        <w:rPr>
          <w:sz w:val="22"/>
          <w:szCs w:val="22"/>
          <w:lang w:val="en-US" w:eastAsia="zh-CN"/>
        </w:rPr>
        <w:t>By supporting carriers with different numerologies</w:t>
      </w:r>
      <w:r w:rsidR="004A13C3" w:rsidRPr="00550869">
        <w:rPr>
          <w:sz w:val="22"/>
          <w:szCs w:val="22"/>
          <w:lang w:val="en-US" w:eastAsia="zh-CN"/>
        </w:rPr>
        <w:t xml:space="preserve"> with</w:t>
      </w:r>
      <w:r w:rsidRPr="00550869">
        <w:rPr>
          <w:sz w:val="22"/>
          <w:szCs w:val="22"/>
          <w:lang w:val="en-US" w:eastAsia="zh-CN"/>
        </w:rPr>
        <w:t xml:space="preserve">in the same TAG, </w:t>
      </w:r>
    </w:p>
    <w:p w14:paraId="55E682BF" w14:textId="791BB137" w:rsidR="00574026" w:rsidRPr="00550869" w:rsidRDefault="00574026" w:rsidP="00574026">
      <w:pPr>
        <w:pStyle w:val="BodyText"/>
        <w:numPr>
          <w:ilvl w:val="0"/>
          <w:numId w:val="19"/>
        </w:numPr>
        <w:tabs>
          <w:tab w:val="left" w:pos="648"/>
        </w:tabs>
        <w:overflowPunct/>
        <w:autoSpaceDE/>
        <w:autoSpaceDN/>
        <w:adjustRightInd/>
        <w:jc w:val="both"/>
        <w:textAlignment w:val="auto"/>
        <w:rPr>
          <w:sz w:val="22"/>
          <w:szCs w:val="22"/>
          <w:lang w:val="en-US" w:eastAsia="zh-CN"/>
        </w:rPr>
      </w:pPr>
      <w:r w:rsidRPr="00550869">
        <w:rPr>
          <w:sz w:val="22"/>
          <w:szCs w:val="22"/>
          <w:lang w:val="en-US" w:eastAsia="zh-CN"/>
        </w:rPr>
        <w:t>There is no need to increase the maximum number of TA</w:t>
      </w:r>
      <w:r w:rsidR="005C36BE" w:rsidRPr="00550869">
        <w:rPr>
          <w:sz w:val="22"/>
          <w:szCs w:val="22"/>
          <w:lang w:val="en-US" w:eastAsia="zh-CN"/>
        </w:rPr>
        <w:t>Gs, as 4 TAGs remains available to support non-collocated carriers.</w:t>
      </w:r>
    </w:p>
    <w:p w14:paraId="366A93F3" w14:textId="48FDE905" w:rsidR="005C36BE" w:rsidRPr="00550869" w:rsidRDefault="005C36BE" w:rsidP="00574026">
      <w:pPr>
        <w:pStyle w:val="BodyText"/>
        <w:numPr>
          <w:ilvl w:val="0"/>
          <w:numId w:val="19"/>
        </w:numPr>
        <w:tabs>
          <w:tab w:val="left" w:pos="648"/>
        </w:tabs>
        <w:overflowPunct/>
        <w:autoSpaceDE/>
        <w:autoSpaceDN/>
        <w:adjustRightInd/>
        <w:jc w:val="both"/>
        <w:textAlignment w:val="auto"/>
        <w:rPr>
          <w:sz w:val="22"/>
          <w:szCs w:val="22"/>
          <w:lang w:val="en-US" w:eastAsia="zh-CN"/>
        </w:rPr>
      </w:pPr>
      <w:r w:rsidRPr="00550869">
        <w:rPr>
          <w:sz w:val="22"/>
          <w:szCs w:val="22"/>
          <w:lang w:val="en-US" w:eastAsia="zh-CN"/>
        </w:rPr>
        <w:t>Unnecessary signaling overhead is avoided as the number of maintained UL timing advances is not increased.</w:t>
      </w:r>
    </w:p>
    <w:p w14:paraId="3DCEFE48" w14:textId="575E06C9" w:rsidR="005C36BE" w:rsidRPr="00550869" w:rsidRDefault="005C36BE" w:rsidP="00574026">
      <w:pPr>
        <w:pStyle w:val="BodyText"/>
        <w:numPr>
          <w:ilvl w:val="0"/>
          <w:numId w:val="19"/>
        </w:numPr>
        <w:tabs>
          <w:tab w:val="left" w:pos="648"/>
        </w:tabs>
        <w:overflowPunct/>
        <w:autoSpaceDE/>
        <w:autoSpaceDN/>
        <w:adjustRightInd/>
        <w:jc w:val="both"/>
        <w:textAlignment w:val="auto"/>
        <w:rPr>
          <w:sz w:val="22"/>
          <w:szCs w:val="22"/>
          <w:lang w:val="en-US" w:eastAsia="zh-CN"/>
        </w:rPr>
      </w:pPr>
      <w:r w:rsidRPr="00550869">
        <w:rPr>
          <w:sz w:val="22"/>
          <w:szCs w:val="22"/>
          <w:lang w:val="en-US" w:eastAsia="zh-CN"/>
        </w:rPr>
        <w:t xml:space="preserve">Same TAG and timing advance mechanism can be applied also when UE </w:t>
      </w:r>
      <w:r w:rsidR="00610717">
        <w:rPr>
          <w:sz w:val="22"/>
          <w:szCs w:val="22"/>
          <w:lang w:val="en-US" w:eastAsia="zh-CN"/>
        </w:rPr>
        <w:t>is switching between</w:t>
      </w:r>
      <w:r w:rsidR="00610717" w:rsidRPr="00550869">
        <w:rPr>
          <w:sz w:val="22"/>
          <w:szCs w:val="22"/>
          <w:lang w:val="en-US" w:eastAsia="zh-CN"/>
        </w:rPr>
        <w:t xml:space="preserve"> </w:t>
      </w:r>
      <w:r w:rsidRPr="00550869">
        <w:rPr>
          <w:sz w:val="22"/>
          <w:szCs w:val="22"/>
          <w:lang w:val="en-US" w:eastAsia="zh-CN"/>
        </w:rPr>
        <w:t>multiple BWPs configured with different numerologies</w:t>
      </w:r>
      <w:r w:rsidR="00610717">
        <w:rPr>
          <w:sz w:val="22"/>
          <w:szCs w:val="22"/>
          <w:lang w:val="en-US" w:eastAsia="zh-CN"/>
        </w:rPr>
        <w:t xml:space="preserve"> on a carrier</w:t>
      </w:r>
      <w:r w:rsidRPr="00550869">
        <w:rPr>
          <w:sz w:val="22"/>
          <w:szCs w:val="22"/>
          <w:lang w:val="en-US" w:eastAsia="zh-CN"/>
        </w:rPr>
        <w:t xml:space="preserve">. Grouping BWPs with different numerology to different TAGs </w:t>
      </w:r>
      <w:r w:rsidR="00610717">
        <w:rPr>
          <w:sz w:val="22"/>
          <w:szCs w:val="22"/>
          <w:lang w:val="en-US" w:eastAsia="zh-CN"/>
        </w:rPr>
        <w:t>would</w:t>
      </w:r>
      <w:r w:rsidRPr="00550869">
        <w:rPr>
          <w:sz w:val="22"/>
          <w:szCs w:val="22"/>
          <w:lang w:val="en-US" w:eastAsia="zh-CN"/>
        </w:rPr>
        <w:t xml:space="preserve"> lead </w:t>
      </w:r>
      <w:r w:rsidR="00610717">
        <w:rPr>
          <w:sz w:val="22"/>
          <w:szCs w:val="22"/>
          <w:lang w:val="en-US" w:eastAsia="zh-CN"/>
        </w:rPr>
        <w:t xml:space="preserve">to </w:t>
      </w:r>
      <w:r w:rsidR="00610717" w:rsidRPr="00550869">
        <w:rPr>
          <w:sz w:val="22"/>
          <w:szCs w:val="22"/>
          <w:lang w:val="en-US" w:eastAsia="zh-CN"/>
        </w:rPr>
        <w:t>add</w:t>
      </w:r>
      <w:r w:rsidR="00610717">
        <w:rPr>
          <w:sz w:val="22"/>
          <w:szCs w:val="22"/>
          <w:lang w:val="en-US" w:eastAsia="zh-CN"/>
        </w:rPr>
        <w:t>itional</w:t>
      </w:r>
      <w:r w:rsidR="00610717" w:rsidRPr="00550869">
        <w:rPr>
          <w:sz w:val="22"/>
          <w:szCs w:val="22"/>
          <w:lang w:val="en-US" w:eastAsia="zh-CN"/>
        </w:rPr>
        <w:t xml:space="preserve"> </w:t>
      </w:r>
      <w:r w:rsidRPr="00550869">
        <w:rPr>
          <w:sz w:val="22"/>
          <w:szCs w:val="22"/>
          <w:lang w:val="en-US" w:eastAsia="zh-CN"/>
        </w:rPr>
        <w:t>complexity that can be avoided</w:t>
      </w:r>
      <w:r w:rsidR="00610717">
        <w:rPr>
          <w:sz w:val="22"/>
          <w:szCs w:val="22"/>
          <w:lang w:val="en-US" w:eastAsia="zh-CN"/>
        </w:rPr>
        <w:t xml:space="preserve"> by supporting TAGs containing BWPs of different numerology</w:t>
      </w:r>
      <w:r w:rsidRPr="00550869">
        <w:rPr>
          <w:sz w:val="22"/>
          <w:szCs w:val="22"/>
          <w:lang w:val="en-US" w:eastAsia="zh-CN"/>
        </w:rPr>
        <w:t>.</w:t>
      </w:r>
    </w:p>
    <w:p w14:paraId="16648735" w14:textId="71B79DBA" w:rsidR="000D2972" w:rsidRPr="00550869" w:rsidRDefault="004A13C3" w:rsidP="000D2972">
      <w:pPr>
        <w:pStyle w:val="BodyText"/>
        <w:tabs>
          <w:tab w:val="left" w:pos="648"/>
        </w:tabs>
        <w:overflowPunct/>
        <w:autoSpaceDE/>
        <w:autoSpaceDN/>
        <w:adjustRightInd/>
        <w:jc w:val="both"/>
        <w:textAlignment w:val="auto"/>
        <w:rPr>
          <w:sz w:val="22"/>
          <w:szCs w:val="22"/>
          <w:lang w:val="en-US" w:eastAsia="zh-CN"/>
        </w:rPr>
      </w:pPr>
      <w:r w:rsidRPr="00550869">
        <w:rPr>
          <w:rFonts w:eastAsia="MS Mincho"/>
          <w:sz w:val="22"/>
          <w:szCs w:val="22"/>
          <w:lang w:eastAsia="ja-JP"/>
        </w:rPr>
        <w:t xml:space="preserve">Given </w:t>
      </w:r>
      <w:r w:rsidR="00610717">
        <w:rPr>
          <w:rFonts w:eastAsia="MS Mincho"/>
          <w:sz w:val="22"/>
          <w:szCs w:val="22"/>
          <w:lang w:eastAsia="ja-JP"/>
        </w:rPr>
        <w:t>above</w:t>
      </w:r>
      <w:r w:rsidR="00610717" w:rsidRPr="00550869">
        <w:rPr>
          <w:rFonts w:eastAsia="MS Mincho"/>
          <w:sz w:val="22"/>
          <w:szCs w:val="22"/>
          <w:lang w:eastAsia="ja-JP"/>
        </w:rPr>
        <w:t xml:space="preserve"> </w:t>
      </w:r>
      <w:r w:rsidRPr="00550869">
        <w:rPr>
          <w:rFonts w:eastAsia="MS Mincho"/>
          <w:sz w:val="22"/>
          <w:szCs w:val="22"/>
          <w:lang w:eastAsia="ja-JP"/>
        </w:rPr>
        <w:t xml:space="preserve">discussions, we think it is reasonable to support </w:t>
      </w:r>
      <w:r w:rsidRPr="00550869">
        <w:rPr>
          <w:sz w:val="22"/>
          <w:szCs w:val="22"/>
          <w:lang w:val="en-US" w:eastAsia="zh-CN"/>
        </w:rPr>
        <w:t>different numerologies within the same TAG.</w:t>
      </w:r>
      <w:r w:rsidR="000D2972" w:rsidRPr="00550869">
        <w:rPr>
          <w:sz w:val="22"/>
          <w:szCs w:val="22"/>
          <w:lang w:val="en-US" w:eastAsia="zh-CN"/>
        </w:rPr>
        <w:t xml:space="preserve"> Obviously, gNB should be able to signal TA command with TA granularity that is sufficient for</w:t>
      </w:r>
      <w:r w:rsidR="00C821D9">
        <w:rPr>
          <w:sz w:val="22"/>
          <w:szCs w:val="22"/>
          <w:lang w:val="en-US" w:eastAsia="zh-CN"/>
        </w:rPr>
        <w:t xml:space="preserve"> </w:t>
      </w:r>
      <w:r w:rsidR="00606AD9">
        <w:rPr>
          <w:sz w:val="22"/>
          <w:szCs w:val="22"/>
          <w:lang w:val="en-US" w:eastAsia="zh-CN"/>
        </w:rPr>
        <w:t>the</w:t>
      </w:r>
      <w:r w:rsidR="000D2972" w:rsidRPr="00550869">
        <w:rPr>
          <w:sz w:val="22"/>
          <w:szCs w:val="22"/>
          <w:lang w:val="en-US" w:eastAsia="zh-CN"/>
        </w:rPr>
        <w:t xml:space="preserve"> widest SCS configured to UE</w:t>
      </w:r>
      <w:r w:rsidR="00026F2D">
        <w:rPr>
          <w:sz w:val="22"/>
          <w:szCs w:val="22"/>
          <w:lang w:val="en-US" w:eastAsia="zh-CN"/>
        </w:rPr>
        <w:t xml:space="preserve"> while providing a TA range sufficient to correct even larger errors e.g. after a longer idle period in UL</w:t>
      </w:r>
      <w:r w:rsidR="000D2972" w:rsidRPr="00550869">
        <w:rPr>
          <w:sz w:val="22"/>
          <w:szCs w:val="22"/>
          <w:lang w:val="en-US" w:eastAsia="zh-CN"/>
        </w:rPr>
        <w:t xml:space="preserve">. One can see </w:t>
      </w:r>
      <w:r w:rsidR="00026F2D">
        <w:rPr>
          <w:sz w:val="22"/>
          <w:szCs w:val="22"/>
          <w:lang w:val="en-US" w:eastAsia="zh-CN"/>
        </w:rPr>
        <w:t>few</w:t>
      </w:r>
      <w:r w:rsidR="00026F2D" w:rsidRPr="00550869">
        <w:rPr>
          <w:sz w:val="22"/>
          <w:szCs w:val="22"/>
          <w:lang w:val="en-US" w:eastAsia="zh-CN"/>
        </w:rPr>
        <w:t xml:space="preserve"> </w:t>
      </w:r>
      <w:r w:rsidR="000D2972" w:rsidRPr="00550869">
        <w:rPr>
          <w:sz w:val="22"/>
          <w:szCs w:val="22"/>
          <w:lang w:val="en-US" w:eastAsia="zh-CN"/>
        </w:rPr>
        <w:t>basic signaling options:</w:t>
      </w:r>
    </w:p>
    <w:p w14:paraId="634D395B" w14:textId="511199F3" w:rsidR="00026F2D" w:rsidRDefault="00026F2D" w:rsidP="000D2972">
      <w:pPr>
        <w:pStyle w:val="BodyText"/>
        <w:numPr>
          <w:ilvl w:val="0"/>
          <w:numId w:val="21"/>
        </w:numPr>
        <w:tabs>
          <w:tab w:val="left" w:pos="648"/>
        </w:tabs>
        <w:overflowPunct/>
        <w:autoSpaceDE/>
        <w:autoSpaceDN/>
        <w:adjustRightInd/>
        <w:jc w:val="both"/>
        <w:textAlignment w:val="auto"/>
        <w:rPr>
          <w:sz w:val="22"/>
          <w:szCs w:val="22"/>
          <w:lang w:val="en-US" w:eastAsia="zh-CN"/>
        </w:rPr>
      </w:pPr>
      <w:r>
        <w:rPr>
          <w:sz w:val="22"/>
          <w:szCs w:val="22"/>
          <w:lang w:val="en-US" w:eastAsia="zh-CN"/>
        </w:rPr>
        <w:t xml:space="preserve">TA command field in NR is extended </w:t>
      </w:r>
      <w:r w:rsidR="00DB301E">
        <w:rPr>
          <w:sz w:val="22"/>
          <w:szCs w:val="22"/>
          <w:lang w:val="en-US" w:eastAsia="zh-CN"/>
        </w:rPr>
        <w:t xml:space="preserve">to cover sufficient TA command range with the TA granularity sufficient for the widest/largest SCS supported by Rel-15 NR </w:t>
      </w:r>
      <w:r w:rsidR="00DB301E">
        <w:rPr>
          <w:sz w:val="22"/>
          <w:szCs w:val="22"/>
          <w:lang w:val="en-US" w:eastAsia="zh-CN"/>
        </w:rPr>
        <w:t>–</w:t>
      </w:r>
      <w:r w:rsidR="00DB301E">
        <w:rPr>
          <w:sz w:val="22"/>
          <w:szCs w:val="22"/>
          <w:lang w:val="en-US" w:eastAsia="zh-CN"/>
        </w:rPr>
        <w:t xml:space="preserve"> </w:t>
      </w:r>
      <w:r w:rsidR="00A175BB">
        <w:rPr>
          <w:sz w:val="22"/>
          <w:szCs w:val="22"/>
          <w:lang w:val="en-US" w:eastAsia="zh-CN"/>
        </w:rPr>
        <w:t xml:space="preserve">e.g. ~65 ns </w:t>
      </w:r>
      <w:r w:rsidR="00DB301E">
        <w:rPr>
          <w:sz w:val="22"/>
          <w:szCs w:val="22"/>
          <w:lang w:val="en-US" w:eastAsia="zh-CN"/>
        </w:rPr>
        <w:t xml:space="preserve">for 120 kHz SCS, </w:t>
      </w:r>
      <w:r w:rsidR="00A175BB">
        <w:rPr>
          <w:sz w:val="22"/>
          <w:szCs w:val="22"/>
          <w:lang w:val="en-US" w:eastAsia="zh-CN"/>
        </w:rPr>
        <w:t xml:space="preserve">or ~33 ns </w:t>
      </w:r>
      <w:r w:rsidR="00DB301E">
        <w:rPr>
          <w:sz w:val="22"/>
          <w:szCs w:val="22"/>
          <w:lang w:val="en-US" w:eastAsia="zh-CN"/>
        </w:rPr>
        <w:t>for 240 kH</w:t>
      </w:r>
      <w:r w:rsidR="00A175BB">
        <w:rPr>
          <w:sz w:val="22"/>
          <w:szCs w:val="22"/>
          <w:lang w:val="en-US" w:eastAsia="zh-CN"/>
        </w:rPr>
        <w:t>z SCS.</w:t>
      </w:r>
    </w:p>
    <w:p w14:paraId="0B0EC2C7" w14:textId="5ED9C451" w:rsidR="000D2972" w:rsidRPr="00550869" w:rsidRDefault="000D2972" w:rsidP="000D2972">
      <w:pPr>
        <w:pStyle w:val="BodyText"/>
        <w:numPr>
          <w:ilvl w:val="0"/>
          <w:numId w:val="21"/>
        </w:numPr>
        <w:tabs>
          <w:tab w:val="left" w:pos="648"/>
        </w:tabs>
        <w:overflowPunct/>
        <w:autoSpaceDE/>
        <w:autoSpaceDN/>
        <w:adjustRightInd/>
        <w:jc w:val="both"/>
        <w:textAlignment w:val="auto"/>
        <w:rPr>
          <w:sz w:val="22"/>
          <w:szCs w:val="22"/>
          <w:lang w:val="en-US" w:eastAsia="zh-CN"/>
        </w:rPr>
      </w:pPr>
      <w:r w:rsidRPr="00550869">
        <w:rPr>
          <w:sz w:val="22"/>
          <w:szCs w:val="22"/>
          <w:lang w:val="en-US" w:eastAsia="zh-CN"/>
        </w:rPr>
        <w:t>TA command uses the TA granularity corresponding to the widest</w:t>
      </w:r>
      <w:r w:rsidR="00550869">
        <w:rPr>
          <w:sz w:val="22"/>
          <w:szCs w:val="22"/>
          <w:lang w:val="en-US" w:eastAsia="zh-CN"/>
        </w:rPr>
        <w:t>/largest</w:t>
      </w:r>
      <w:r w:rsidRPr="00550869">
        <w:rPr>
          <w:sz w:val="22"/>
          <w:szCs w:val="22"/>
          <w:lang w:val="en-US" w:eastAsia="zh-CN"/>
        </w:rPr>
        <w:t xml:space="preserve"> SCS configured to UE. To maintain sufficient range for single TA command, the TA field in TAC MAC CE may be extended from the 6 bits used in LTE. </w:t>
      </w:r>
    </w:p>
    <w:p w14:paraId="6BCC0861" w14:textId="061A5B8B" w:rsidR="00A61F71" w:rsidRPr="00550869" w:rsidRDefault="000D2972" w:rsidP="001600F0">
      <w:pPr>
        <w:pStyle w:val="BodyText"/>
        <w:numPr>
          <w:ilvl w:val="0"/>
          <w:numId w:val="21"/>
        </w:numPr>
        <w:tabs>
          <w:tab w:val="left" w:pos="648"/>
        </w:tabs>
        <w:overflowPunct/>
        <w:autoSpaceDE/>
        <w:autoSpaceDN/>
        <w:adjustRightInd/>
        <w:jc w:val="both"/>
        <w:textAlignment w:val="auto"/>
        <w:rPr>
          <w:sz w:val="22"/>
          <w:szCs w:val="22"/>
          <w:lang w:val="en-US" w:eastAsia="zh-CN"/>
        </w:rPr>
      </w:pPr>
      <w:r w:rsidRPr="00550869">
        <w:rPr>
          <w:sz w:val="22"/>
          <w:szCs w:val="22"/>
          <w:lang w:val="en-US" w:eastAsia="zh-CN"/>
        </w:rPr>
        <w:t xml:space="preserve">TA command explicitly indicates the TA granularity used on the command: either TA granularity corresponding to the widest configured SCS or TA granularity corresponding to 15 kHz SCS. </w:t>
      </w:r>
      <w:r w:rsidR="006F0213" w:rsidRPr="00550869">
        <w:rPr>
          <w:sz w:val="22"/>
          <w:szCs w:val="22"/>
          <w:lang w:val="en-US" w:eastAsia="zh-CN"/>
        </w:rPr>
        <w:t xml:space="preserve">With the explicit indication of TA granularity, TA command ambiguity during RRC reconfiguration uncertainty period can be avoided and TA command can be issued for already configured and used carriers </w:t>
      </w:r>
      <w:r w:rsidR="00610717">
        <w:rPr>
          <w:sz w:val="22"/>
          <w:szCs w:val="22"/>
          <w:lang w:val="en-US" w:eastAsia="zh-CN"/>
        </w:rPr>
        <w:t>with</w:t>
      </w:r>
      <w:r w:rsidR="00610717" w:rsidRPr="00550869">
        <w:rPr>
          <w:sz w:val="22"/>
          <w:szCs w:val="22"/>
          <w:lang w:val="en-US" w:eastAsia="zh-CN"/>
        </w:rPr>
        <w:t xml:space="preserve"> </w:t>
      </w:r>
      <w:r w:rsidR="006F0213" w:rsidRPr="00550869">
        <w:rPr>
          <w:sz w:val="22"/>
          <w:szCs w:val="22"/>
          <w:lang w:val="en-US" w:eastAsia="zh-CN"/>
        </w:rPr>
        <w:t>BWP</w:t>
      </w:r>
      <w:r w:rsidR="00610717">
        <w:rPr>
          <w:sz w:val="22"/>
          <w:szCs w:val="22"/>
          <w:lang w:val="en-US" w:eastAsia="zh-CN"/>
        </w:rPr>
        <w:t>s</w:t>
      </w:r>
      <w:r w:rsidR="006F0213" w:rsidRPr="00550869">
        <w:rPr>
          <w:sz w:val="22"/>
          <w:szCs w:val="22"/>
          <w:lang w:val="en-US" w:eastAsia="zh-CN"/>
        </w:rPr>
        <w:t xml:space="preserve">. </w:t>
      </w:r>
    </w:p>
    <w:p w14:paraId="3631A0D3" w14:textId="48A4A462" w:rsidR="004A13C3" w:rsidRPr="004B1850" w:rsidRDefault="00DD4447" w:rsidP="004A13C3">
      <w:pPr>
        <w:spacing w:after="120"/>
        <w:jc w:val="both"/>
        <w:rPr>
          <w:rFonts w:ascii="Times New Roman" w:hAnsi="Times New Roman" w:cs="Times New Roman"/>
          <w:b/>
        </w:rPr>
      </w:pPr>
      <w:r w:rsidRPr="004B1850">
        <w:rPr>
          <w:rFonts w:ascii="Times New Roman" w:hAnsi="Times New Roman" w:cs="Times New Roman"/>
          <w:b/>
        </w:rPr>
        <w:t>Proposal-1</w:t>
      </w:r>
      <w:r w:rsidR="00E24280" w:rsidRPr="004B1850">
        <w:rPr>
          <w:rFonts w:ascii="Times New Roman" w:hAnsi="Times New Roman" w:cs="Times New Roman"/>
          <w:b/>
        </w:rPr>
        <w:t>2</w:t>
      </w:r>
      <w:r w:rsidR="004A13C3" w:rsidRPr="004B1850">
        <w:rPr>
          <w:rFonts w:ascii="Times New Roman" w:hAnsi="Times New Roman" w:cs="Times New Roman"/>
          <w:b/>
        </w:rPr>
        <w:t xml:space="preserve">: TAG can contain component carriers </w:t>
      </w:r>
      <w:r w:rsidR="00610717" w:rsidRPr="004B1850">
        <w:rPr>
          <w:rFonts w:ascii="Times New Roman" w:hAnsi="Times New Roman" w:cs="Times New Roman"/>
          <w:b/>
        </w:rPr>
        <w:t xml:space="preserve">with </w:t>
      </w:r>
      <w:r w:rsidR="004A13C3" w:rsidRPr="004B1850">
        <w:rPr>
          <w:rFonts w:ascii="Times New Roman" w:hAnsi="Times New Roman" w:cs="Times New Roman"/>
          <w:b/>
        </w:rPr>
        <w:t xml:space="preserve">BWPs </w:t>
      </w:r>
      <w:r w:rsidR="00610717" w:rsidRPr="004B1850">
        <w:rPr>
          <w:rFonts w:ascii="Times New Roman" w:hAnsi="Times New Roman" w:cs="Times New Roman"/>
          <w:b/>
        </w:rPr>
        <w:t xml:space="preserve">of </w:t>
      </w:r>
      <w:r w:rsidR="004A13C3" w:rsidRPr="004B1850">
        <w:rPr>
          <w:rFonts w:ascii="Times New Roman" w:hAnsi="Times New Roman" w:cs="Times New Roman"/>
          <w:b/>
        </w:rPr>
        <w:t>different numerologies.</w:t>
      </w:r>
    </w:p>
    <w:p w14:paraId="46E24C46" w14:textId="6DBCCC16" w:rsidR="001600F0" w:rsidRPr="001600F0" w:rsidRDefault="001600F0" w:rsidP="001600F0">
      <w:pPr>
        <w:keepNext/>
        <w:keepLines/>
        <w:pBdr>
          <w:top w:val="single" w:sz="12" w:space="16"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6</w:t>
      </w:r>
      <w:r w:rsidRPr="001600F0">
        <w:rPr>
          <w:rFonts w:ascii="Arial" w:eastAsia="SimSun" w:hAnsi="Arial" w:cs="Times New Roman"/>
          <w:sz w:val="36"/>
          <w:szCs w:val="20"/>
          <w:lang w:val="en-GB"/>
        </w:rPr>
        <w:t xml:space="preserve"> Remaining aspects of BWPs</w:t>
      </w:r>
    </w:p>
    <w:p w14:paraId="7294F3DE" w14:textId="46307DB0" w:rsidR="001600F0" w:rsidRPr="005342CB" w:rsidRDefault="001600F0" w:rsidP="001600F0">
      <w:pPr>
        <w:spacing w:after="120" w:line="240" w:lineRule="auto"/>
        <w:jc w:val="both"/>
        <w:rPr>
          <w:rFonts w:ascii="Times New Roman" w:eastAsia="SimSun" w:hAnsi="Times New Roman" w:cs="Times New Roman"/>
          <w:lang w:eastAsia="zh-CN"/>
        </w:rPr>
      </w:pPr>
      <w:bookmarkStart w:id="6" w:name="_Hlk492205276"/>
      <w:r w:rsidRPr="004B1850">
        <w:rPr>
          <w:rFonts w:ascii="Times New Roman" w:eastAsia="MS Mincho" w:hAnsi="Times New Roman" w:cs="Times New Roman"/>
          <w:bCs/>
          <w:kern w:val="24"/>
          <w:lang w:eastAsia="fi-FI"/>
        </w:rPr>
        <w:t>As seen from agreements listed in</w:t>
      </w:r>
      <w:r w:rsidR="00610717" w:rsidRPr="004B1850">
        <w:rPr>
          <w:rFonts w:ascii="Times New Roman" w:eastAsia="MS Mincho" w:hAnsi="Times New Roman" w:cs="Times New Roman"/>
          <w:bCs/>
          <w:kern w:val="24"/>
          <w:lang w:eastAsia="fi-FI"/>
        </w:rPr>
        <w:t xml:space="preserve"> the</w:t>
      </w:r>
      <w:r w:rsidRPr="004B1850">
        <w:rPr>
          <w:rFonts w:ascii="Times New Roman" w:eastAsia="MS Mincho" w:hAnsi="Times New Roman" w:cs="Times New Roman"/>
          <w:bCs/>
          <w:kern w:val="24"/>
          <w:lang w:eastAsia="fi-FI"/>
        </w:rPr>
        <w:t xml:space="preserve"> Introduction, significant progress has been achieved in RAN1#90 with respect to BWP design. </w:t>
      </w:r>
      <w:r w:rsidRPr="005342CB">
        <w:rPr>
          <w:rFonts w:ascii="Times New Roman" w:eastAsia="SimSun" w:hAnsi="Times New Roman" w:cs="Times New Roman"/>
          <w:lang w:eastAsia="zh-CN"/>
        </w:rPr>
        <w:t>In this section, we discuss the remaining aspects and FFS points.</w:t>
      </w:r>
    </w:p>
    <w:p w14:paraId="575C6EB4" w14:textId="77777777" w:rsidR="001600F0" w:rsidRPr="005342CB" w:rsidRDefault="001600F0" w:rsidP="001600F0">
      <w:pPr>
        <w:spacing w:after="120" w:line="240" w:lineRule="auto"/>
        <w:jc w:val="both"/>
        <w:rPr>
          <w:rFonts w:ascii="Times New Roman" w:eastAsia="SimSun"/>
          <w:b/>
          <w:lang w:eastAsia="zh-CN"/>
        </w:rPr>
      </w:pPr>
    </w:p>
    <w:bookmarkEnd w:id="6"/>
    <w:p w14:paraId="008B9422" w14:textId="77777777" w:rsidR="00205B79" w:rsidRPr="00205B79" w:rsidRDefault="00205B79" w:rsidP="00205B79">
      <w:pPr>
        <w:pStyle w:val="ListParagraph"/>
        <w:keepNext/>
        <w:keepLines/>
        <w:numPr>
          <w:ilvl w:val="0"/>
          <w:numId w:val="4"/>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rPr>
      </w:pPr>
    </w:p>
    <w:p w14:paraId="7867634B" w14:textId="77777777" w:rsidR="00205B79" w:rsidRPr="00205B79" w:rsidRDefault="00205B79" w:rsidP="00205B79">
      <w:pPr>
        <w:pStyle w:val="ListParagraph"/>
        <w:keepNext/>
        <w:keepLines/>
        <w:numPr>
          <w:ilvl w:val="0"/>
          <w:numId w:val="4"/>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rPr>
      </w:pPr>
    </w:p>
    <w:p w14:paraId="496B2550" w14:textId="05BE80FF" w:rsidR="001600F0" w:rsidRPr="001600F0" w:rsidRDefault="001600F0" w:rsidP="00205B79">
      <w:pPr>
        <w:pStyle w:val="Heading3"/>
      </w:pPr>
      <w:r w:rsidRPr="001600F0">
        <w:t>On BWP adaptation</w:t>
      </w:r>
    </w:p>
    <w:p w14:paraId="2E833BC4" w14:textId="4D529CB5" w:rsidR="001600F0" w:rsidRPr="005342CB" w:rsidRDefault="001600F0" w:rsidP="001600F0">
      <w:pPr>
        <w:spacing w:after="120" w:line="240" w:lineRule="auto"/>
        <w:jc w:val="both"/>
        <w:rPr>
          <w:rFonts w:ascii="Times New Roman" w:eastAsia="SimSun" w:hAnsi="Times New Roman" w:cs="Times New Roman"/>
          <w:lang w:eastAsia="zh-CN"/>
        </w:rPr>
      </w:pPr>
      <w:r w:rsidRPr="004B1850">
        <w:rPr>
          <w:rFonts w:ascii="Times New Roman" w:eastAsia="SimSun" w:hAnsi="Times New Roman" w:cs="Times New Roman"/>
          <w:lang w:eastAsia="zh-CN"/>
        </w:rPr>
        <w:t>Companies agreed that the activation/deactivation of the single active BWP is by means of a DCI. And it stayed open whether the DCI is a scheduling DCI or separate DCI. The separate DCI has two main drawback</w:t>
      </w:r>
      <w:r w:rsidR="00610717" w:rsidRPr="005342CB">
        <w:rPr>
          <w:rFonts w:ascii="Times New Roman" w:eastAsia="SimSun" w:hAnsi="Times New Roman" w:cs="Times New Roman"/>
          <w:lang w:eastAsia="zh-CN"/>
        </w:rPr>
        <w:t>s</w:t>
      </w:r>
      <w:r w:rsidRPr="005342CB">
        <w:rPr>
          <w:rFonts w:ascii="Times New Roman" w:eastAsia="SimSun" w:hAnsi="Times New Roman" w:cs="Times New Roman"/>
          <w:lang w:eastAsia="zh-CN"/>
        </w:rPr>
        <w:t>: (i) introduces unnecessary control overhead and (ii) requires UE to monitor for a separate DCI format size, this increasing the number of BDs. On contrary, the scheduling DCI requires only few additional bits in a DCI. For example, to achieve BW adaptation between one wide and one narrow BWP, only a single additional bit (BWP index) is required in the scheduling DCI. Therefore, we have the following proposal:</w:t>
      </w:r>
    </w:p>
    <w:p w14:paraId="7B988F8A" w14:textId="16B5BBD6" w:rsidR="001600F0" w:rsidRPr="005342CB" w:rsidRDefault="00553E73" w:rsidP="001600F0">
      <w:pPr>
        <w:jc w:val="both"/>
        <w:rPr>
          <w:rFonts w:ascii="Times New Roman" w:hAnsi="Times New Roman" w:cs="Times New Roman"/>
          <w:b/>
        </w:rPr>
      </w:pPr>
      <w:r w:rsidRPr="005342CB">
        <w:rPr>
          <w:rFonts w:ascii="Times New Roman" w:hAnsi="Times New Roman" w:cs="Times New Roman"/>
          <w:b/>
        </w:rPr>
        <w:t>Proposal-1</w:t>
      </w:r>
      <w:r w:rsidR="00796E8A">
        <w:rPr>
          <w:rFonts w:ascii="Times New Roman" w:hAnsi="Times New Roman" w:cs="Times New Roman"/>
          <w:b/>
        </w:rPr>
        <w:t>3</w:t>
      </w:r>
      <w:r w:rsidR="001600F0" w:rsidRPr="005342CB">
        <w:rPr>
          <w:rFonts w:ascii="Times New Roman" w:hAnsi="Times New Roman" w:cs="Times New Roman"/>
          <w:b/>
        </w:rPr>
        <w:t>: Adopt DL assignment/UL grant based activation/deactivation/adaptation of an active BWP.</w:t>
      </w:r>
    </w:p>
    <w:p w14:paraId="26C789F6" w14:textId="57679CC4" w:rsidR="001600F0" w:rsidRPr="001600F0" w:rsidRDefault="001600F0">
      <w:pPr>
        <w:jc w:val="both"/>
        <w:rPr>
          <w:rFonts w:ascii="Times New Roman" w:hAnsi="Times New Roman" w:cs="Times New Roman"/>
        </w:rPr>
      </w:pPr>
      <w:r w:rsidRPr="005342CB">
        <w:rPr>
          <w:rFonts w:ascii="Times New Roman" w:hAnsi="Times New Roman" w:cs="Times New Roman"/>
        </w:rPr>
        <w:t xml:space="preserve">When considering dynamic switching between BWPs, we think that the same mechanism to address both Scenario 1 and 2 use-cases from </w:t>
      </w:r>
      <w:r>
        <w:rPr>
          <w:rFonts w:ascii="Times New Roman" w:hAnsi="Times New Roman" w:cs="Times New Roman"/>
          <w:highlight w:val="yellow"/>
        </w:rPr>
        <w:fldChar w:fldCharType="begin"/>
      </w:r>
      <w:r w:rsidRPr="005342CB">
        <w:rPr>
          <w:rFonts w:ascii="Times New Roman" w:hAnsi="Times New Roman" w:cs="Times New Roman"/>
        </w:rPr>
        <w:instrText xml:space="preserve"> REF _Ref492207613 \r \h </w:instrText>
      </w:r>
      <w:r>
        <w:rPr>
          <w:rFonts w:ascii="Times New Roman" w:hAnsi="Times New Roman" w:cs="Times New Roman"/>
          <w:highlight w:val="yellow"/>
        </w:rPr>
      </w:r>
      <w:r>
        <w:rPr>
          <w:rFonts w:ascii="Times New Roman" w:hAnsi="Times New Roman" w:cs="Times New Roman"/>
          <w:highlight w:val="yellow"/>
        </w:rPr>
        <w:fldChar w:fldCharType="separate"/>
      </w:r>
      <w:r w:rsidR="00EC5DC1">
        <w:rPr>
          <w:rFonts w:ascii="Times New Roman" w:hAnsi="Times New Roman" w:cs="Times New Roman"/>
        </w:rPr>
        <w:t>[1]</w:t>
      </w:r>
      <w:r>
        <w:rPr>
          <w:rFonts w:ascii="Times New Roman" w:hAnsi="Times New Roman" w:cs="Times New Roman"/>
          <w:highlight w:val="yellow"/>
        </w:rPr>
        <w:fldChar w:fldCharType="end"/>
      </w:r>
      <w:r w:rsidRPr="004B1850">
        <w:rPr>
          <w:rFonts w:ascii="Times New Roman" w:hAnsi="Times New Roman" w:cs="Times New Roman"/>
        </w:rPr>
        <w:t xml:space="preserve"> should be specified. </w:t>
      </w:r>
      <w:r w:rsidRPr="001600F0">
        <w:rPr>
          <w:rFonts w:ascii="Times New Roman" w:hAnsi="Times New Roman" w:cs="Times New Roman"/>
        </w:rPr>
        <w:t xml:space="preserve">We propose an activation/deactivation/adaptation mechanism, where </w:t>
      </w:r>
    </w:p>
    <w:p w14:paraId="50045A57" w14:textId="77777777" w:rsidR="001600F0" w:rsidRPr="005342CB" w:rsidRDefault="001600F0" w:rsidP="001600F0">
      <w:pPr>
        <w:numPr>
          <w:ilvl w:val="0"/>
          <w:numId w:val="13"/>
        </w:numPr>
        <w:contextualSpacing/>
        <w:jc w:val="both"/>
        <w:rPr>
          <w:rFonts w:ascii="Times New Roman" w:hAnsi="Times New Roman" w:cs="Times New Roman"/>
        </w:rPr>
      </w:pPr>
      <w:r w:rsidRPr="004B1850">
        <w:rPr>
          <w:rFonts w:ascii="Times New Roman" w:hAnsi="Times New Roman" w:cs="Times New Roman"/>
        </w:rPr>
        <w:t>Each BWP contains a CORESET (as agreed in RAN1#89) with at least user-specific search space (in some case the CORESET can be the same, implementation specific)</w:t>
      </w:r>
    </w:p>
    <w:p w14:paraId="520A8961" w14:textId="2F60DADD" w:rsidR="001600F0" w:rsidRPr="005342CB" w:rsidRDefault="001600F0" w:rsidP="001600F0">
      <w:pPr>
        <w:numPr>
          <w:ilvl w:val="0"/>
          <w:numId w:val="13"/>
        </w:numPr>
        <w:contextualSpacing/>
        <w:jc w:val="both"/>
        <w:rPr>
          <w:rFonts w:ascii="Times New Roman" w:hAnsi="Times New Roman" w:cs="Times New Roman"/>
        </w:rPr>
      </w:pPr>
      <w:r w:rsidRPr="005342CB">
        <w:rPr>
          <w:rFonts w:ascii="Times New Roman" w:hAnsi="Times New Roman" w:cs="Times New Roman"/>
        </w:rPr>
        <w:t>A UE monitors a single DCI format size irrespective of</w:t>
      </w:r>
      <w:r w:rsidR="00610717" w:rsidRPr="005342CB">
        <w:rPr>
          <w:rFonts w:ascii="Times New Roman" w:hAnsi="Times New Roman" w:cs="Times New Roman"/>
        </w:rPr>
        <w:t xml:space="preserve"> which</w:t>
      </w:r>
      <w:r w:rsidRPr="005342CB">
        <w:rPr>
          <w:rFonts w:ascii="Times New Roman" w:hAnsi="Times New Roman" w:cs="Times New Roman"/>
        </w:rPr>
        <w:t xml:space="preserve"> </w:t>
      </w:r>
      <w:r w:rsidR="00C10D06" w:rsidRPr="005342CB">
        <w:rPr>
          <w:rFonts w:ascii="Times New Roman" w:hAnsi="Times New Roman" w:cs="Times New Roman"/>
        </w:rPr>
        <w:t>BWP</w:t>
      </w:r>
      <w:r w:rsidR="00610717" w:rsidRPr="005342CB">
        <w:rPr>
          <w:rFonts w:ascii="Times New Roman" w:hAnsi="Times New Roman" w:cs="Times New Roman"/>
        </w:rPr>
        <w:t xml:space="preserve"> is active</w:t>
      </w:r>
      <w:r w:rsidR="00C10D06" w:rsidRPr="005342CB">
        <w:rPr>
          <w:rFonts w:ascii="Times New Roman" w:hAnsi="Times New Roman" w:cs="Times New Roman"/>
        </w:rPr>
        <w:t>.</w:t>
      </w:r>
      <w:r w:rsidRPr="005342CB">
        <w:rPr>
          <w:rFonts w:ascii="Times New Roman" w:hAnsi="Times New Roman" w:cs="Times New Roman"/>
        </w:rPr>
        <w:t xml:space="preserve"> This is beneficial if an gNB configures identical CORESET for overlapping WB and NB parts as then the retuning can be done seamlessly. In addition, we agreed that CORESET in one BWP can schedule any other BWP as well. Therefore, to reduce the number of BDs a UE performs, a single DCI format size should be applicable irrespective of BWP being scheduled.</w:t>
      </w:r>
    </w:p>
    <w:p w14:paraId="79453CE7" w14:textId="77777777" w:rsidR="001600F0" w:rsidRPr="005342CB" w:rsidRDefault="001600F0" w:rsidP="001600F0">
      <w:pPr>
        <w:numPr>
          <w:ilvl w:val="0"/>
          <w:numId w:val="13"/>
        </w:numPr>
        <w:contextualSpacing/>
        <w:jc w:val="both"/>
        <w:rPr>
          <w:rFonts w:ascii="Times New Roman" w:hAnsi="Times New Roman" w:cs="Times New Roman"/>
        </w:rPr>
      </w:pPr>
      <w:r w:rsidRPr="005342CB">
        <w:rPr>
          <w:rFonts w:ascii="Times New Roman" w:hAnsi="Times New Roman" w:cs="Times New Roman"/>
        </w:rPr>
        <w:t>The DCI format contains the following:</w:t>
      </w:r>
    </w:p>
    <w:p w14:paraId="703E74FB" w14:textId="27C2468F" w:rsidR="001600F0" w:rsidRPr="005342CB" w:rsidRDefault="001600F0" w:rsidP="001600F0">
      <w:pPr>
        <w:numPr>
          <w:ilvl w:val="1"/>
          <w:numId w:val="13"/>
        </w:numPr>
        <w:contextualSpacing/>
        <w:jc w:val="both"/>
        <w:rPr>
          <w:rFonts w:ascii="Times New Roman" w:hAnsi="Times New Roman" w:cs="Times New Roman"/>
        </w:rPr>
      </w:pPr>
      <w:r w:rsidRPr="005342CB">
        <w:rPr>
          <w:rFonts w:ascii="Times New Roman" w:hAnsi="Times New Roman" w:cs="Times New Roman"/>
        </w:rPr>
        <w:t>BWP index (if &gt;1 BWP is configured</w:t>
      </w:r>
      <w:r w:rsidR="00610717" w:rsidRPr="005342CB">
        <w:rPr>
          <w:rFonts w:ascii="Times New Roman" w:hAnsi="Times New Roman" w:cs="Times New Roman"/>
        </w:rPr>
        <w:t xml:space="preserve"> on a carrier</w:t>
      </w:r>
      <w:r w:rsidRPr="005342CB">
        <w:rPr>
          <w:rFonts w:ascii="Times New Roman" w:hAnsi="Times New Roman" w:cs="Times New Roman"/>
        </w:rPr>
        <w:t>)</w:t>
      </w:r>
    </w:p>
    <w:p w14:paraId="271AC62F" w14:textId="6BA76A9F" w:rsidR="001600F0" w:rsidRDefault="001600F0" w:rsidP="001600F0">
      <w:pPr>
        <w:numPr>
          <w:ilvl w:val="1"/>
          <w:numId w:val="13"/>
        </w:numPr>
        <w:contextualSpacing/>
        <w:jc w:val="both"/>
        <w:rPr>
          <w:rFonts w:ascii="Times New Roman" w:hAnsi="Times New Roman" w:cs="Times New Roman"/>
        </w:rPr>
      </w:pPr>
      <w:r w:rsidRPr="005342CB">
        <w:rPr>
          <w:rFonts w:ascii="Times New Roman" w:hAnsi="Times New Roman" w:cs="Times New Roman"/>
        </w:rPr>
        <w:t xml:space="preserve">RA field of the size agnostic to BWP size (i.e. # of PRBs)  </w:t>
      </w:r>
    </w:p>
    <w:p w14:paraId="10B23B4B" w14:textId="77777777" w:rsidR="00B56DF0" w:rsidRPr="005342CB" w:rsidRDefault="00B56DF0" w:rsidP="00B56DF0">
      <w:pPr>
        <w:ind w:left="1440"/>
        <w:contextualSpacing/>
        <w:jc w:val="both"/>
        <w:rPr>
          <w:rFonts w:ascii="Times New Roman" w:hAnsi="Times New Roman" w:cs="Times New Roman"/>
        </w:rPr>
      </w:pPr>
    </w:p>
    <w:p w14:paraId="4931BC6F" w14:textId="3DA59926" w:rsidR="001600F0" w:rsidRPr="005342CB" w:rsidRDefault="00553E73" w:rsidP="001600F0">
      <w:pPr>
        <w:jc w:val="both"/>
        <w:rPr>
          <w:rFonts w:ascii="Times New Roman" w:hAnsi="Times New Roman" w:cs="Times New Roman"/>
          <w:b/>
        </w:rPr>
      </w:pPr>
      <w:r w:rsidRPr="005342CB">
        <w:rPr>
          <w:rFonts w:ascii="Times New Roman" w:hAnsi="Times New Roman" w:cs="Times New Roman"/>
          <w:b/>
        </w:rPr>
        <w:t>Proposal-1</w:t>
      </w:r>
      <w:r w:rsidR="00796E8A">
        <w:rPr>
          <w:rFonts w:ascii="Times New Roman" w:hAnsi="Times New Roman" w:cs="Times New Roman"/>
          <w:b/>
        </w:rPr>
        <w:t>4</w:t>
      </w:r>
      <w:r w:rsidR="001600F0" w:rsidRPr="005342CB">
        <w:rPr>
          <w:rFonts w:ascii="Times New Roman" w:hAnsi="Times New Roman" w:cs="Times New Roman"/>
          <w:b/>
        </w:rPr>
        <w:t>: A UE monitors a single DCI format size for DL assignments and a single DCI format</w:t>
      </w:r>
      <w:r w:rsidR="000B442C" w:rsidRPr="005342CB">
        <w:rPr>
          <w:rFonts w:ascii="Times New Roman" w:hAnsi="Times New Roman" w:cs="Times New Roman"/>
          <w:b/>
        </w:rPr>
        <w:t xml:space="preserve"> size</w:t>
      </w:r>
      <w:r w:rsidR="001600F0" w:rsidRPr="005342CB">
        <w:rPr>
          <w:rFonts w:ascii="Times New Roman" w:hAnsi="Times New Roman" w:cs="Times New Roman"/>
          <w:b/>
        </w:rPr>
        <w:t xml:space="preserve"> for UL grants irrespective of </w:t>
      </w:r>
      <w:r w:rsidR="00624A81" w:rsidRPr="005342CB">
        <w:rPr>
          <w:rFonts w:ascii="Times New Roman" w:hAnsi="Times New Roman" w:cs="Times New Roman"/>
          <w:b/>
        </w:rPr>
        <w:t xml:space="preserve">which </w:t>
      </w:r>
      <w:r w:rsidR="001600F0" w:rsidRPr="005342CB">
        <w:rPr>
          <w:rFonts w:ascii="Times New Roman" w:hAnsi="Times New Roman" w:cs="Times New Roman"/>
          <w:b/>
        </w:rPr>
        <w:t>BWP</w:t>
      </w:r>
      <w:r w:rsidR="00624A81" w:rsidRPr="005342CB">
        <w:rPr>
          <w:rFonts w:ascii="Times New Roman" w:hAnsi="Times New Roman" w:cs="Times New Roman"/>
          <w:b/>
        </w:rPr>
        <w:t xml:space="preserve"> is active</w:t>
      </w:r>
      <w:r w:rsidR="001600F0" w:rsidRPr="005342CB">
        <w:rPr>
          <w:rFonts w:ascii="Times New Roman" w:hAnsi="Times New Roman" w:cs="Times New Roman"/>
          <w:b/>
        </w:rPr>
        <w:t xml:space="preserve"> </w:t>
      </w:r>
      <w:r w:rsidR="00624A81" w:rsidRPr="005342CB">
        <w:rPr>
          <w:rFonts w:ascii="Times New Roman" w:hAnsi="Times New Roman" w:cs="Times New Roman"/>
          <w:b/>
        </w:rPr>
        <w:t>on the carrier</w:t>
      </w:r>
      <w:r w:rsidR="001600F0" w:rsidRPr="005342CB">
        <w:rPr>
          <w:rFonts w:ascii="Times New Roman" w:hAnsi="Times New Roman" w:cs="Times New Roman"/>
          <w:b/>
        </w:rPr>
        <w:t>. FFS same DCI format size for DL assignment and UL grants.</w:t>
      </w:r>
    </w:p>
    <w:p w14:paraId="1416D37B" w14:textId="274257DD" w:rsidR="001600F0" w:rsidRPr="005342CB" w:rsidRDefault="00553E73" w:rsidP="001600F0">
      <w:pPr>
        <w:spacing w:after="120" w:line="240" w:lineRule="auto"/>
        <w:jc w:val="both"/>
        <w:rPr>
          <w:rFonts w:ascii="Times New Roman" w:eastAsia="SimSun" w:hAnsi="Times New Roman" w:cs="Times New Roman"/>
          <w:b/>
        </w:rPr>
      </w:pPr>
      <w:r w:rsidRPr="005342CB">
        <w:rPr>
          <w:rFonts w:ascii="Times New Roman" w:eastAsia="SimSun" w:hAnsi="Times New Roman" w:cs="Times New Roman"/>
          <w:b/>
        </w:rPr>
        <w:t>Proposal-1</w:t>
      </w:r>
      <w:r w:rsidR="00796E8A">
        <w:rPr>
          <w:rFonts w:ascii="Times New Roman" w:eastAsia="SimSun" w:hAnsi="Times New Roman" w:cs="Times New Roman"/>
          <w:b/>
        </w:rPr>
        <w:t>5</w:t>
      </w:r>
      <w:r w:rsidR="001600F0" w:rsidRPr="005342CB">
        <w:rPr>
          <w:rFonts w:ascii="Times New Roman" w:eastAsia="SimSun" w:hAnsi="Times New Roman" w:cs="Times New Roman"/>
          <w:b/>
        </w:rPr>
        <w:t xml:space="preserve">: If </w:t>
      </w:r>
      <w:r w:rsidR="00624A81" w:rsidRPr="005342CB">
        <w:rPr>
          <w:rFonts w:ascii="Times New Roman" w:eastAsia="SimSun" w:hAnsi="Times New Roman" w:cs="Times New Roman"/>
          <w:b/>
        </w:rPr>
        <w:t xml:space="preserve">a </w:t>
      </w:r>
      <w:r w:rsidR="001600F0" w:rsidRPr="005342CB">
        <w:rPr>
          <w:rFonts w:ascii="Times New Roman" w:eastAsia="SimSun" w:hAnsi="Times New Roman" w:cs="Times New Roman"/>
          <w:b/>
        </w:rPr>
        <w:t>UE is configured with more than one BWP, a DL assignment or UL grant contains an explicit DCI field (BWPI), which indicates to a UE a BWP on which the data transmission has been scheduled.</w:t>
      </w:r>
    </w:p>
    <w:p w14:paraId="06869A7A" w14:textId="51EA5EFB" w:rsidR="000B442C" w:rsidRPr="005342CB" w:rsidRDefault="000B442C" w:rsidP="001600F0">
      <w:pPr>
        <w:spacing w:after="120" w:line="240" w:lineRule="auto"/>
        <w:jc w:val="both"/>
        <w:rPr>
          <w:rFonts w:ascii="Times New Roman" w:eastAsia="SimSun" w:hAnsi="Times New Roman" w:cs="Times New Roman"/>
          <w:lang w:eastAsia="zh-CN"/>
        </w:rPr>
      </w:pPr>
      <w:r w:rsidRPr="005342CB">
        <w:rPr>
          <w:rFonts w:ascii="Times New Roman" w:eastAsia="SimSun" w:hAnsi="Times New Roman" w:cs="Times New Roman"/>
          <w:lang w:eastAsia="zh-CN"/>
        </w:rPr>
        <w:tab/>
      </w:r>
    </w:p>
    <w:p w14:paraId="4ABBD167" w14:textId="399BD2A0" w:rsidR="001600F0" w:rsidRPr="005342CB" w:rsidRDefault="001600F0" w:rsidP="001600F0">
      <w:pPr>
        <w:spacing w:after="120" w:line="240" w:lineRule="auto"/>
        <w:jc w:val="both"/>
        <w:rPr>
          <w:rFonts w:ascii="Times New Roman" w:eastAsia="SimSun"/>
          <w:lang w:eastAsia="zh-CN"/>
        </w:rPr>
      </w:pPr>
      <w:r w:rsidRPr="005342CB">
        <w:rPr>
          <w:rFonts w:ascii="Times New Roman" w:eastAsia="SimSun"/>
          <w:lang w:eastAsia="zh-CN"/>
        </w:rPr>
        <w:t xml:space="preserve">Previously, it was agreed that in case of TDD, a UE is not expected to retune center frequency when switching between UL/DL. Therefore, we propose that for TDD, the UL and DL BWP are adapted jointly, i.e. there is only a single BWP for both UL and DL. The BWP can </w:t>
      </w:r>
      <w:r w:rsidR="00624A81" w:rsidRPr="005342CB">
        <w:rPr>
          <w:rFonts w:ascii="Times New Roman" w:eastAsia="SimSun"/>
          <w:lang w:eastAsia="zh-CN"/>
        </w:rPr>
        <w:t xml:space="preserve">be </w:t>
      </w:r>
      <w:r w:rsidRPr="005342CB">
        <w:rPr>
          <w:rFonts w:ascii="Times New Roman" w:eastAsia="SimSun"/>
          <w:lang w:eastAsia="zh-CN"/>
        </w:rPr>
        <w:t xml:space="preserve">activated/deactivated by either UL grant or DL assignment.  </w:t>
      </w:r>
    </w:p>
    <w:p w14:paraId="225D2D58" w14:textId="49D68A52" w:rsidR="001600F0" w:rsidRPr="005342CB" w:rsidRDefault="00553E73" w:rsidP="001600F0">
      <w:pPr>
        <w:rPr>
          <w:b/>
        </w:rPr>
      </w:pPr>
      <w:r w:rsidRPr="005342CB">
        <w:rPr>
          <w:rFonts w:ascii="Times New Roman" w:hAnsi="Times New Roman" w:cs="Times New Roman"/>
          <w:b/>
        </w:rPr>
        <w:t>Proposal-1</w:t>
      </w:r>
      <w:r w:rsidR="00796E8A">
        <w:rPr>
          <w:rFonts w:ascii="Times New Roman" w:hAnsi="Times New Roman" w:cs="Times New Roman"/>
          <w:b/>
        </w:rPr>
        <w:t>6</w:t>
      </w:r>
      <w:r w:rsidR="001600F0" w:rsidRPr="005342CB">
        <w:rPr>
          <w:rFonts w:ascii="Times New Roman" w:hAnsi="Times New Roman" w:cs="Times New Roman"/>
          <w:b/>
        </w:rPr>
        <w:t xml:space="preserve">: For TDD, a </w:t>
      </w:r>
      <w:r w:rsidR="00624A81" w:rsidRPr="005342CB">
        <w:rPr>
          <w:rFonts w:ascii="Times New Roman" w:hAnsi="Times New Roman" w:cs="Times New Roman"/>
          <w:b/>
        </w:rPr>
        <w:t xml:space="preserve">single </w:t>
      </w:r>
      <w:r w:rsidR="001600F0" w:rsidRPr="005342CB">
        <w:rPr>
          <w:rFonts w:ascii="Times New Roman" w:hAnsi="Times New Roman" w:cs="Times New Roman"/>
          <w:b/>
        </w:rPr>
        <w:t xml:space="preserve">BWP is configured for both UL and DL. UE may adapt active BWP among configured BWPs either by UL grant or DL assignment.  </w:t>
      </w:r>
    </w:p>
    <w:p w14:paraId="6BA14309" w14:textId="77777777" w:rsidR="001600F0" w:rsidRPr="005342CB" w:rsidRDefault="001600F0" w:rsidP="001600F0">
      <w:pPr>
        <w:rPr>
          <w:b/>
        </w:rPr>
      </w:pPr>
    </w:p>
    <w:p w14:paraId="2495A7B5" w14:textId="2D61EAD4" w:rsidR="001600F0" w:rsidRPr="00143732" w:rsidRDefault="001600F0" w:rsidP="001600F0">
      <w:pPr>
        <w:keepNext/>
        <w:keepLines/>
        <w:numPr>
          <w:ilvl w:val="1"/>
          <w:numId w:val="4"/>
        </w:numPr>
        <w:tabs>
          <w:tab w:val="num" w:pos="360"/>
        </w:tabs>
        <w:overflowPunct w:val="0"/>
        <w:autoSpaceDE w:val="0"/>
        <w:autoSpaceDN w:val="0"/>
        <w:adjustRightInd w:val="0"/>
        <w:spacing w:before="120" w:after="180" w:line="240" w:lineRule="auto"/>
        <w:ind w:left="567" w:hanging="567"/>
        <w:textAlignment w:val="baseline"/>
        <w:outlineLvl w:val="2"/>
        <w:rPr>
          <w:rFonts w:ascii="Arial" w:eastAsia="SimSun" w:hAnsi="Arial" w:cs="Times New Roman"/>
          <w:sz w:val="28"/>
          <w:szCs w:val="20"/>
        </w:rPr>
      </w:pPr>
      <w:r w:rsidRPr="00143732">
        <w:rPr>
          <w:rFonts w:ascii="Arial" w:eastAsia="SimSun" w:hAnsi="Arial" w:cs="Times New Roman"/>
          <w:sz w:val="28"/>
          <w:szCs w:val="20"/>
        </w:rPr>
        <w:lastRenderedPageBreak/>
        <w:t xml:space="preserve">On details of timer </w:t>
      </w:r>
    </w:p>
    <w:p w14:paraId="795F6205" w14:textId="10768F45" w:rsidR="001600F0" w:rsidRPr="005342CB" w:rsidRDefault="000B442C" w:rsidP="000B442C">
      <w:pPr>
        <w:rPr>
          <w:b/>
        </w:rPr>
      </w:pPr>
      <w:r w:rsidRPr="004B1850">
        <w:rPr>
          <w:rFonts w:ascii="Times New Roman" w:hAnsi="Times New Roman" w:cs="Times New Roman"/>
        </w:rPr>
        <w:t>In RAN1#90, RAN1 agreed on the existence of default BWP, which can be the initial-active DL/UL BWP for transmission of RMSI, containing RMSI CORESET with CSS. The RMSI CORESET may also contain USS and therefore, default BWP can be the active BWP for the user after</w:t>
      </w:r>
      <w:r w:rsidRPr="005342CB">
        <w:rPr>
          <w:rFonts w:ascii="Times New Roman" w:hAnsi="Times New Roman" w:cs="Times New Roman"/>
        </w:rPr>
        <w:t xml:space="preserve"> becoming RRC connected. Note that in RAN1#90 we agreed that “</w:t>
      </w:r>
      <w:r w:rsidRPr="005342CB">
        <w:rPr>
          <w:rFonts w:ascii="Times New Roman" w:hAnsi="Times New Roman" w:cs="Times New Roman"/>
          <w:i/>
        </w:rPr>
        <w:t>FFS: details of initial active DL/UL bandwidth part are discussed in initial access agenda</w:t>
      </w:r>
      <w:r w:rsidRPr="005342CB">
        <w:rPr>
          <w:rFonts w:ascii="Times New Roman" w:hAnsi="Times New Roman" w:cs="Times New Roman"/>
        </w:rPr>
        <w:t xml:space="preserve">”. Please refer to our accompanying contribution </w:t>
      </w:r>
      <w:r w:rsidR="00DD11D0">
        <w:rPr>
          <w:rFonts w:ascii="Times New Roman" w:hAnsi="Times New Roman" w:cs="Times New Roman"/>
          <w:highlight w:val="yellow"/>
        </w:rPr>
        <w:fldChar w:fldCharType="begin"/>
      </w:r>
      <w:r w:rsidR="00DD11D0">
        <w:rPr>
          <w:rFonts w:ascii="Times New Roman" w:hAnsi="Times New Roman" w:cs="Times New Roman"/>
        </w:rPr>
        <w:instrText xml:space="preserve"> REF _Ref492915137 \r \h </w:instrText>
      </w:r>
      <w:r w:rsidR="00DD11D0">
        <w:rPr>
          <w:rFonts w:ascii="Times New Roman" w:hAnsi="Times New Roman" w:cs="Times New Roman"/>
          <w:highlight w:val="yellow"/>
        </w:rPr>
      </w:r>
      <w:r w:rsidR="00DD11D0">
        <w:rPr>
          <w:rFonts w:ascii="Times New Roman" w:hAnsi="Times New Roman" w:cs="Times New Roman"/>
          <w:highlight w:val="yellow"/>
        </w:rPr>
        <w:fldChar w:fldCharType="separate"/>
      </w:r>
      <w:r w:rsidR="00DD11D0">
        <w:rPr>
          <w:rFonts w:ascii="Times New Roman" w:hAnsi="Times New Roman" w:cs="Times New Roman"/>
        </w:rPr>
        <w:t>[4]</w:t>
      </w:r>
      <w:r w:rsidR="00DD11D0">
        <w:rPr>
          <w:rFonts w:ascii="Times New Roman" w:hAnsi="Times New Roman" w:cs="Times New Roman"/>
          <w:highlight w:val="yellow"/>
        </w:rPr>
        <w:fldChar w:fldCharType="end"/>
      </w:r>
      <w:r w:rsidRPr="005342CB">
        <w:rPr>
          <w:rFonts w:ascii="Times New Roman" w:hAnsi="Times New Roman" w:cs="Times New Roman"/>
        </w:rPr>
        <w:t>.</w:t>
      </w:r>
      <w:r w:rsidR="001600F0" w:rsidRPr="005342CB">
        <w:rPr>
          <w:rFonts w:ascii="Times New Roman" w:hAnsi="Times New Roman" w:cs="Times New Roman"/>
        </w:rPr>
        <w:t xml:space="preserve"> </w:t>
      </w:r>
    </w:p>
    <w:p w14:paraId="5B4042B7" w14:textId="733A6BA3" w:rsidR="001600F0" w:rsidRPr="005342CB" w:rsidRDefault="001600F0" w:rsidP="001600F0">
      <w:pPr>
        <w:spacing w:after="120" w:line="240" w:lineRule="auto"/>
        <w:jc w:val="both"/>
        <w:rPr>
          <w:rFonts w:ascii="Times New Roman" w:eastAsia="SimSun"/>
          <w:lang w:eastAsia="zh-CN"/>
        </w:rPr>
      </w:pPr>
      <w:r w:rsidRPr="005342CB">
        <w:rPr>
          <w:rFonts w:ascii="Times New Roman" w:eastAsia="SimSun"/>
          <w:lang w:eastAsia="zh-CN"/>
        </w:rPr>
        <w:t xml:space="preserve">Furthermore, in the RAN1#90 meeting it was agreed that a UE may switch to </w:t>
      </w:r>
      <w:r w:rsidR="00624A81" w:rsidRPr="005342CB">
        <w:rPr>
          <w:rFonts w:ascii="Times New Roman" w:eastAsia="SimSun"/>
          <w:lang w:eastAsia="zh-CN"/>
        </w:rPr>
        <w:t>the</w:t>
      </w:r>
      <w:r w:rsidRPr="005342CB">
        <w:rPr>
          <w:rFonts w:ascii="Times New Roman" w:eastAsia="SimSun"/>
          <w:lang w:eastAsia="zh-CN"/>
        </w:rPr>
        <w:t xml:space="preserve"> default BWP by means of an activity timer. We think that such functionality is identical to functionality provided by </w:t>
      </w:r>
      <w:r w:rsidRPr="005342CB">
        <w:rPr>
          <w:rFonts w:ascii="Times New Roman" w:eastAsia="SimSun"/>
          <w:lang w:eastAsia="zh-CN"/>
        </w:rPr>
        <w:t>“</w:t>
      </w:r>
      <w:r w:rsidRPr="005342CB">
        <w:rPr>
          <w:rFonts w:ascii="Times New Roman" w:eastAsia="SimSun"/>
          <w:lang w:eastAsia="zh-CN"/>
        </w:rPr>
        <w:t>drx-Inactivity-Timer</w:t>
      </w:r>
      <w:r w:rsidRPr="005342CB">
        <w:rPr>
          <w:rFonts w:ascii="Times New Roman" w:eastAsia="SimSun"/>
          <w:lang w:eastAsia="zh-CN"/>
        </w:rPr>
        <w:t>”</w:t>
      </w:r>
      <w:r w:rsidRPr="005342CB">
        <w:rPr>
          <w:rFonts w:ascii="Times New Roman" w:eastAsia="SimSun"/>
          <w:lang w:eastAsia="zh-CN"/>
        </w:rPr>
        <w:t xml:space="preserve"> that specifies the number of consecutive PDCCH-subframe(s) for which the UE should be Active after successfully decoding a PDCCH indicating a new transmission (UL or DL). This timer is restarted upon receiving PDCCH for a new transmission (UL or DL). Upon the expiry of this timer the UE should activate/deactivate the default BWP.</w:t>
      </w:r>
      <w:r w:rsidR="00624A81" w:rsidRPr="005342CB">
        <w:rPr>
          <w:rFonts w:ascii="Times New Roman" w:eastAsia="SimSun"/>
          <w:lang w:eastAsia="zh-CN"/>
        </w:rPr>
        <w:t xml:space="preserve"> On the other hand, we think that reception of scheduling DCI should not cause</w:t>
      </w:r>
      <w:r w:rsidR="00AD1D0D" w:rsidRPr="005342CB">
        <w:rPr>
          <w:rFonts w:ascii="Times New Roman" w:eastAsia="SimSun"/>
          <w:lang w:eastAsia="zh-CN"/>
        </w:rPr>
        <w:t xml:space="preserve"> automatic</w:t>
      </w:r>
      <w:r w:rsidR="00624A81" w:rsidRPr="005342CB">
        <w:rPr>
          <w:rFonts w:ascii="Times New Roman" w:eastAsia="SimSun"/>
          <w:lang w:eastAsia="zh-CN"/>
        </w:rPr>
        <w:t xml:space="preserve"> activation of </w:t>
      </w:r>
      <w:r w:rsidR="00C10D06" w:rsidRPr="005342CB">
        <w:rPr>
          <w:rFonts w:ascii="Times New Roman" w:eastAsia="SimSun"/>
          <w:lang w:eastAsia="zh-CN"/>
        </w:rPr>
        <w:t>an</w:t>
      </w:r>
      <w:r w:rsidR="00624A81" w:rsidRPr="005342CB">
        <w:rPr>
          <w:rFonts w:ascii="Times New Roman" w:eastAsia="SimSun"/>
          <w:lang w:eastAsia="zh-CN"/>
        </w:rPr>
        <w:t xml:space="preserve">other BWP. For example, if only small amount of traffic is to </w:t>
      </w:r>
      <w:r w:rsidR="00B56DF0">
        <w:rPr>
          <w:rFonts w:ascii="Times New Roman" w:eastAsia="SimSun"/>
          <w:lang w:eastAsia="zh-CN"/>
        </w:rPr>
        <w:t>be served, UE can stay on the narrow-band</w:t>
      </w:r>
      <w:r w:rsidR="00624A81" w:rsidRPr="005342CB">
        <w:rPr>
          <w:rFonts w:ascii="Times New Roman" w:eastAsia="SimSun"/>
          <w:lang w:eastAsia="zh-CN"/>
        </w:rPr>
        <w:t xml:space="preserve"> active BW</w:t>
      </w:r>
      <w:r w:rsidR="00AD1D0D" w:rsidRPr="005342CB">
        <w:rPr>
          <w:rFonts w:ascii="Times New Roman" w:eastAsia="SimSun"/>
          <w:lang w:eastAsia="zh-CN"/>
        </w:rPr>
        <w:t>P</w:t>
      </w:r>
      <w:r w:rsidR="00B56DF0">
        <w:rPr>
          <w:rFonts w:ascii="Times New Roman" w:eastAsia="SimSun"/>
          <w:lang w:eastAsia="zh-CN"/>
        </w:rPr>
        <w:t>, and BW can be opened by</w:t>
      </w:r>
      <w:r w:rsidR="00624A81" w:rsidRPr="005342CB">
        <w:rPr>
          <w:rFonts w:ascii="Times New Roman" w:eastAsia="SimSun"/>
          <w:lang w:eastAsia="zh-CN"/>
        </w:rPr>
        <w:t xml:space="preserve"> means of BWPI</w:t>
      </w:r>
      <w:r w:rsidR="00AD1D0D" w:rsidRPr="005342CB">
        <w:rPr>
          <w:rFonts w:ascii="Times New Roman" w:eastAsia="SimSun"/>
          <w:lang w:eastAsia="zh-CN"/>
        </w:rPr>
        <w:t xml:space="preserve"> if more traffic is to be served</w:t>
      </w:r>
      <w:r w:rsidR="00624A81" w:rsidRPr="005342CB">
        <w:rPr>
          <w:rFonts w:ascii="Times New Roman" w:eastAsia="SimSun"/>
          <w:lang w:eastAsia="zh-CN"/>
        </w:rPr>
        <w:t xml:space="preserve">. </w:t>
      </w:r>
    </w:p>
    <w:p w14:paraId="4B4C4BB5" w14:textId="6440BDD8" w:rsidR="001600F0" w:rsidRPr="00B56DF0" w:rsidRDefault="001600F0" w:rsidP="001600F0">
      <w:pPr>
        <w:spacing w:after="120" w:line="240" w:lineRule="auto"/>
        <w:jc w:val="both"/>
        <w:rPr>
          <w:rFonts w:ascii="Times New Roman" w:eastAsia="SimSun" w:hAnsi="Times New Roman" w:cs="Times New Roman"/>
          <w:b/>
          <w:lang w:eastAsia="zh-CN"/>
        </w:rPr>
      </w:pPr>
      <w:r w:rsidRPr="00B56DF0">
        <w:rPr>
          <w:rFonts w:ascii="Times New Roman" w:eastAsia="SimSun" w:hAnsi="Times New Roman" w:cs="Times New Roman"/>
          <w:b/>
          <w:lang w:eastAsia="zh-CN"/>
        </w:rPr>
        <w:t>Observation-</w:t>
      </w:r>
      <w:r w:rsidR="00E24280" w:rsidRPr="00B56DF0">
        <w:rPr>
          <w:rFonts w:ascii="Times New Roman" w:eastAsia="SimSun" w:hAnsi="Times New Roman" w:cs="Times New Roman"/>
          <w:b/>
          <w:lang w:eastAsia="zh-CN"/>
        </w:rPr>
        <w:t>3</w:t>
      </w:r>
      <w:r w:rsidRPr="00B56DF0">
        <w:rPr>
          <w:rFonts w:ascii="Times New Roman" w:eastAsia="SimSun" w:hAnsi="Times New Roman" w:cs="Times New Roman"/>
          <w:b/>
          <w:lang w:eastAsia="zh-CN"/>
        </w:rPr>
        <w:t xml:space="preserve">:  A DRX-inactivity-timer may order a UE to retune to default BWP. Therefore, the specification of </w:t>
      </w:r>
      <w:r w:rsidR="00624A81" w:rsidRPr="00B56DF0">
        <w:rPr>
          <w:rFonts w:ascii="Times New Roman" w:eastAsia="SimSun" w:hAnsi="Times New Roman" w:cs="Times New Roman"/>
          <w:b/>
          <w:lang w:eastAsia="zh-CN"/>
        </w:rPr>
        <w:t xml:space="preserve">an </w:t>
      </w:r>
      <w:r w:rsidRPr="00B56DF0">
        <w:rPr>
          <w:rFonts w:ascii="Times New Roman" w:eastAsia="SimSun" w:hAnsi="Times New Roman" w:cs="Times New Roman"/>
          <w:b/>
          <w:lang w:eastAsia="zh-CN"/>
        </w:rPr>
        <w:t xml:space="preserve">additional timer is unnecessary. </w:t>
      </w:r>
    </w:p>
    <w:p w14:paraId="364C379B" w14:textId="15B00C6E" w:rsidR="00624A81" w:rsidRPr="00B56DF0" w:rsidRDefault="00AD1D0D" w:rsidP="001600F0">
      <w:pPr>
        <w:rPr>
          <w:rFonts w:ascii="Times New Roman" w:hAnsi="Times New Roman" w:cs="Times New Roman"/>
          <w:b/>
        </w:rPr>
      </w:pPr>
      <w:bookmarkStart w:id="7" w:name="_Hlk492203329"/>
      <w:r w:rsidRPr="00B56DF0">
        <w:rPr>
          <w:rFonts w:ascii="Times New Roman" w:hAnsi="Times New Roman" w:cs="Times New Roman"/>
          <w:b/>
        </w:rPr>
        <w:t>Observation-</w:t>
      </w:r>
      <w:r w:rsidR="00E24280" w:rsidRPr="00B56DF0">
        <w:rPr>
          <w:rFonts w:ascii="Times New Roman" w:hAnsi="Times New Roman" w:cs="Times New Roman"/>
          <w:b/>
        </w:rPr>
        <w:t>4</w:t>
      </w:r>
      <w:r w:rsidR="00624A81" w:rsidRPr="00B56DF0">
        <w:rPr>
          <w:rFonts w:ascii="Times New Roman" w:hAnsi="Times New Roman" w:cs="Times New Roman"/>
          <w:b/>
        </w:rPr>
        <w:t xml:space="preserve">: </w:t>
      </w:r>
      <w:r w:rsidR="00624A81" w:rsidRPr="00B56DF0">
        <w:rPr>
          <w:rFonts w:ascii="Times New Roman" w:eastAsia="SimSun" w:hAnsi="Times New Roman" w:cs="Times New Roman"/>
          <w:b/>
          <w:lang w:eastAsia="zh-CN"/>
        </w:rPr>
        <w:t xml:space="preserve">Reception of a scheduling DCI should not cause automatic activation of </w:t>
      </w:r>
      <w:r w:rsidR="00C10D06" w:rsidRPr="00B56DF0">
        <w:rPr>
          <w:rFonts w:ascii="Times New Roman" w:eastAsia="SimSun" w:hAnsi="Times New Roman" w:cs="Times New Roman"/>
          <w:b/>
          <w:lang w:eastAsia="zh-CN"/>
        </w:rPr>
        <w:t>another</w:t>
      </w:r>
      <w:r w:rsidR="00624A81" w:rsidRPr="00B56DF0">
        <w:rPr>
          <w:rFonts w:ascii="Times New Roman" w:eastAsia="SimSun" w:hAnsi="Times New Roman" w:cs="Times New Roman"/>
          <w:b/>
          <w:lang w:eastAsia="zh-CN"/>
        </w:rPr>
        <w:t xml:space="preserve"> BWP.</w:t>
      </w:r>
    </w:p>
    <w:p w14:paraId="7639590D" w14:textId="77777777" w:rsidR="00624A81" w:rsidRPr="005342CB" w:rsidRDefault="00624A81" w:rsidP="001600F0">
      <w:pPr>
        <w:rPr>
          <w:b/>
        </w:rPr>
      </w:pPr>
    </w:p>
    <w:p w14:paraId="512C76A3" w14:textId="77777777" w:rsidR="001600F0" w:rsidRPr="005342CB" w:rsidRDefault="001600F0" w:rsidP="001600F0">
      <w:pPr>
        <w:keepNext/>
        <w:keepLines/>
        <w:numPr>
          <w:ilvl w:val="1"/>
          <w:numId w:val="4"/>
        </w:numPr>
        <w:tabs>
          <w:tab w:val="num" w:pos="360"/>
        </w:tabs>
        <w:overflowPunct w:val="0"/>
        <w:autoSpaceDE w:val="0"/>
        <w:autoSpaceDN w:val="0"/>
        <w:adjustRightInd w:val="0"/>
        <w:spacing w:before="120" w:after="180" w:line="240" w:lineRule="auto"/>
        <w:ind w:left="567" w:hanging="567"/>
        <w:textAlignment w:val="baseline"/>
        <w:outlineLvl w:val="2"/>
        <w:rPr>
          <w:rFonts w:ascii="Arial" w:eastAsia="SimSun" w:hAnsi="Arial" w:cs="Times New Roman"/>
          <w:sz w:val="28"/>
          <w:szCs w:val="20"/>
        </w:rPr>
      </w:pPr>
      <w:bookmarkStart w:id="8" w:name="_Hlk492203302"/>
      <w:r w:rsidRPr="005342CB">
        <w:rPr>
          <w:rFonts w:ascii="Arial" w:eastAsia="SimSun" w:hAnsi="Arial" w:cs="Times New Roman"/>
          <w:sz w:val="28"/>
          <w:szCs w:val="20"/>
        </w:rPr>
        <w:t>On remaining aspects of common indexing</w:t>
      </w:r>
      <w:bookmarkEnd w:id="7"/>
      <w:bookmarkEnd w:id="8"/>
    </w:p>
    <w:p w14:paraId="31D02C06" w14:textId="77777777" w:rsidR="001600F0" w:rsidRPr="005342CB" w:rsidRDefault="001600F0" w:rsidP="001600F0">
      <w:pPr>
        <w:spacing w:after="120" w:line="240" w:lineRule="auto"/>
        <w:jc w:val="both"/>
        <w:rPr>
          <w:rFonts w:ascii="Times New Roman" w:eastAsia="SimSun"/>
          <w:lang w:eastAsia="zh-CN"/>
        </w:rPr>
      </w:pPr>
      <w:r w:rsidRPr="005342CB">
        <w:rPr>
          <w:rFonts w:ascii="Times New Roman" w:eastAsia="SimSun"/>
          <w:lang w:eastAsia="zh-CN"/>
        </w:rPr>
        <w:t xml:space="preserve">In RAN1#90, it was agreed that a reference point for common indexing is PRB0. It stayed open whether the reference is commonly configured by broadcasted RMSI or by dedicated RRC signaling. We think that dedicated signalling has an advantage, because it allows to set a reference point per group of users that co-exist on a part of NW carrier BW. This allows operating e.g. different numerologies with different reference point, since anyway, orthogonal MU-MIMO between different numerologies is not possible.     </w:t>
      </w:r>
    </w:p>
    <w:p w14:paraId="1A35AFBC" w14:textId="3EAEB08B" w:rsidR="001600F0" w:rsidRPr="005342CB" w:rsidRDefault="001600F0" w:rsidP="001600F0">
      <w:pPr>
        <w:spacing w:after="120" w:line="240" w:lineRule="auto"/>
        <w:jc w:val="both"/>
        <w:rPr>
          <w:rFonts w:ascii="Times New Roman" w:eastAsia="SimSun"/>
          <w:b/>
          <w:lang w:eastAsia="zh-CN"/>
        </w:rPr>
      </w:pPr>
      <w:r w:rsidRPr="005342CB">
        <w:rPr>
          <w:rFonts w:ascii="Times New Roman" w:eastAsia="SimSun"/>
          <w:b/>
          <w:lang w:eastAsia="zh-CN"/>
        </w:rPr>
        <w:t>Proposal-</w:t>
      </w:r>
      <w:r w:rsidR="00553E73" w:rsidRPr="005342CB">
        <w:rPr>
          <w:rFonts w:ascii="Times New Roman" w:eastAsia="SimSun"/>
          <w:b/>
          <w:lang w:eastAsia="zh-CN"/>
        </w:rPr>
        <w:t>1</w:t>
      </w:r>
      <w:r w:rsidR="00796E8A">
        <w:rPr>
          <w:rFonts w:ascii="Times New Roman" w:eastAsia="SimSun"/>
          <w:b/>
          <w:lang w:eastAsia="zh-CN"/>
        </w:rPr>
        <w:t>7</w:t>
      </w:r>
      <w:r w:rsidRPr="005342CB">
        <w:rPr>
          <w:rFonts w:ascii="Times New Roman" w:eastAsia="SimSun"/>
          <w:b/>
          <w:lang w:eastAsia="zh-CN"/>
        </w:rPr>
        <w:t>: The reference point for common indexing is configured to a UE by means of dedicated/user-specific RRC signalling.</w:t>
      </w:r>
    </w:p>
    <w:p w14:paraId="18A372B3" w14:textId="55E9FAE4" w:rsidR="001600F0" w:rsidRPr="005342CB" w:rsidRDefault="001600F0" w:rsidP="001600F0">
      <w:pPr>
        <w:spacing w:after="120" w:line="240" w:lineRule="auto"/>
        <w:jc w:val="both"/>
        <w:rPr>
          <w:rFonts w:ascii="Times New Roman" w:eastAsia="SimSun"/>
          <w:lang w:eastAsia="zh-CN"/>
        </w:rPr>
      </w:pPr>
      <w:bookmarkStart w:id="9" w:name="_Hlk492569286"/>
      <w:r w:rsidRPr="005342CB">
        <w:rPr>
          <w:rFonts w:ascii="Times New Roman" w:eastAsia="SimSun"/>
          <w:lang w:eastAsia="zh-CN"/>
        </w:rPr>
        <w:t>One more open issue is the common indexing for uplink in case of FDD carrier. In this case, the separate UL and DL reference points have to be configured to a UE.</w:t>
      </w:r>
      <w:r w:rsidR="00096D46" w:rsidRPr="005342CB">
        <w:rPr>
          <w:rFonts w:ascii="Times New Roman" w:eastAsia="SimSun"/>
          <w:lang w:eastAsia="zh-CN"/>
        </w:rPr>
        <w:t xml:space="preserve"> </w:t>
      </w:r>
      <w:r w:rsidR="000E40A1" w:rsidRPr="005342CB">
        <w:rPr>
          <w:rFonts w:ascii="Times New Roman" w:eastAsia="SimSun"/>
          <w:lang w:eastAsia="zh-CN"/>
        </w:rPr>
        <w:t xml:space="preserve"> </w:t>
      </w:r>
      <w:r w:rsidR="00BF312A" w:rsidRPr="005342CB">
        <w:rPr>
          <w:rFonts w:ascii="Times New Roman" w:eastAsia="SimSun"/>
          <w:lang w:eastAsia="zh-CN"/>
        </w:rPr>
        <w:t xml:space="preserve">RMSI will </w:t>
      </w:r>
      <w:r w:rsidR="000E40A1" w:rsidRPr="005342CB">
        <w:rPr>
          <w:rFonts w:ascii="Times New Roman" w:eastAsia="SimSun"/>
          <w:lang w:eastAsia="zh-CN"/>
        </w:rPr>
        <w:t>configure</w:t>
      </w:r>
      <w:r w:rsidR="00BF312A" w:rsidRPr="005342CB">
        <w:rPr>
          <w:rFonts w:ascii="Times New Roman" w:eastAsia="SimSun"/>
          <w:lang w:eastAsia="zh-CN"/>
        </w:rPr>
        <w:t xml:space="preserve"> RACH resource which can define initial UL BW</w:t>
      </w:r>
      <w:r w:rsidR="00680F44" w:rsidRPr="005342CB">
        <w:rPr>
          <w:rFonts w:ascii="Times New Roman" w:eastAsia="SimSun"/>
          <w:lang w:eastAsia="zh-CN"/>
        </w:rPr>
        <w:t>P</w:t>
      </w:r>
      <w:r w:rsidR="00BF312A" w:rsidRPr="005342CB">
        <w:rPr>
          <w:rFonts w:ascii="Times New Roman" w:eastAsia="SimSun"/>
          <w:lang w:eastAsia="zh-CN"/>
        </w:rPr>
        <w:t>. The UL reference point for common indexing can be configured with respect to the initial UL BW</w:t>
      </w:r>
      <w:r w:rsidR="00680F44" w:rsidRPr="005342CB">
        <w:rPr>
          <w:rFonts w:ascii="Times New Roman" w:eastAsia="SimSun"/>
          <w:lang w:eastAsia="zh-CN"/>
        </w:rPr>
        <w:t>P</w:t>
      </w:r>
      <w:r w:rsidR="00BF312A" w:rsidRPr="005342CB">
        <w:rPr>
          <w:rFonts w:ascii="Times New Roman" w:eastAsia="SimSun"/>
          <w:lang w:eastAsia="zh-CN"/>
        </w:rPr>
        <w:t xml:space="preserve">. </w:t>
      </w:r>
    </w:p>
    <w:p w14:paraId="517407BB" w14:textId="25D9DEC5" w:rsidR="001600F0" w:rsidRPr="005342CB" w:rsidRDefault="00553E73" w:rsidP="001600F0">
      <w:pPr>
        <w:spacing w:after="120" w:line="240" w:lineRule="auto"/>
        <w:jc w:val="both"/>
        <w:rPr>
          <w:rFonts w:ascii="Times New Roman" w:eastAsia="SimSun"/>
          <w:b/>
          <w:lang w:eastAsia="zh-CN"/>
        </w:rPr>
      </w:pPr>
      <w:r w:rsidRPr="005342CB">
        <w:rPr>
          <w:rFonts w:ascii="Times New Roman" w:eastAsia="SimSun"/>
          <w:b/>
          <w:lang w:eastAsia="zh-CN"/>
        </w:rPr>
        <w:t>Proposal-1</w:t>
      </w:r>
      <w:r w:rsidR="00796E8A">
        <w:rPr>
          <w:rFonts w:ascii="Times New Roman" w:eastAsia="SimSun"/>
          <w:b/>
          <w:lang w:eastAsia="zh-CN"/>
        </w:rPr>
        <w:t>8</w:t>
      </w:r>
      <w:r w:rsidR="001600F0" w:rsidRPr="005342CB">
        <w:rPr>
          <w:rFonts w:ascii="Times New Roman" w:eastAsia="SimSun"/>
          <w:b/>
          <w:lang w:eastAsia="zh-CN"/>
        </w:rPr>
        <w:t xml:space="preserve">: </w:t>
      </w:r>
      <w:r w:rsidRPr="005342CB">
        <w:rPr>
          <w:rFonts w:ascii="Times New Roman" w:eastAsia="SimSun"/>
          <w:b/>
          <w:lang w:eastAsia="zh-CN"/>
        </w:rPr>
        <w:t xml:space="preserve">For FDD, a separate reference point for common indexing is configured for UL. The reference point is user-specifically configured with respect to </w:t>
      </w:r>
      <w:r w:rsidR="00BF312A" w:rsidRPr="005342CB">
        <w:rPr>
          <w:rFonts w:ascii="Times New Roman" w:eastAsia="SimSun"/>
          <w:b/>
          <w:lang w:eastAsia="zh-CN"/>
        </w:rPr>
        <w:t>i</w:t>
      </w:r>
      <w:r w:rsidR="00680F44" w:rsidRPr="005342CB">
        <w:rPr>
          <w:rFonts w:ascii="Times New Roman" w:eastAsia="SimSun"/>
          <w:b/>
          <w:lang w:eastAsia="zh-CN"/>
        </w:rPr>
        <w:t>nitial UL BWP</w:t>
      </w:r>
      <w:r w:rsidR="00BF312A" w:rsidRPr="005342CB">
        <w:rPr>
          <w:rFonts w:ascii="Times New Roman" w:eastAsia="SimSun"/>
          <w:b/>
          <w:lang w:eastAsia="zh-CN"/>
        </w:rPr>
        <w:t xml:space="preserve"> defined by RACH resource</w:t>
      </w:r>
      <w:r w:rsidR="000E40A1" w:rsidRPr="005342CB">
        <w:rPr>
          <w:rFonts w:ascii="Times New Roman" w:eastAsia="SimSun"/>
          <w:b/>
          <w:lang w:eastAsia="zh-CN"/>
        </w:rPr>
        <w:t xml:space="preserve"> (detail</w:t>
      </w:r>
      <w:r w:rsidR="00AE2327">
        <w:rPr>
          <w:rFonts w:ascii="Times New Roman" w:eastAsia="SimSun"/>
          <w:b/>
          <w:lang w:eastAsia="zh-CN"/>
        </w:rPr>
        <w:t>s</w:t>
      </w:r>
      <w:r w:rsidR="000E40A1" w:rsidRPr="005342CB">
        <w:rPr>
          <w:rFonts w:ascii="Times New Roman" w:eastAsia="SimSun"/>
          <w:b/>
          <w:lang w:eastAsia="zh-CN"/>
        </w:rPr>
        <w:t xml:space="preserve"> of </w:t>
      </w:r>
      <w:r w:rsidR="00AE2327">
        <w:rPr>
          <w:rFonts w:ascii="Times New Roman" w:eastAsia="SimSun"/>
          <w:b/>
          <w:lang w:eastAsia="zh-CN"/>
        </w:rPr>
        <w:t xml:space="preserve">an </w:t>
      </w:r>
      <w:r w:rsidR="000E40A1" w:rsidRPr="005342CB">
        <w:rPr>
          <w:rFonts w:ascii="Times New Roman" w:eastAsia="SimSun"/>
          <w:b/>
          <w:lang w:eastAsia="zh-CN"/>
        </w:rPr>
        <w:t>initial UL BW</w:t>
      </w:r>
      <w:r w:rsidR="00680F44" w:rsidRPr="005342CB">
        <w:rPr>
          <w:rFonts w:ascii="Times New Roman" w:eastAsia="SimSun"/>
          <w:b/>
          <w:lang w:eastAsia="zh-CN"/>
        </w:rPr>
        <w:t>P</w:t>
      </w:r>
      <w:r w:rsidR="000E40A1" w:rsidRPr="005342CB">
        <w:rPr>
          <w:rFonts w:ascii="Times New Roman" w:eastAsia="SimSun"/>
          <w:b/>
          <w:lang w:eastAsia="zh-CN"/>
        </w:rPr>
        <w:t xml:space="preserve"> are up to initial access)</w:t>
      </w:r>
      <w:r w:rsidRPr="005342CB">
        <w:rPr>
          <w:rFonts w:ascii="Times New Roman" w:eastAsia="SimSun"/>
          <w:b/>
          <w:lang w:eastAsia="zh-CN"/>
        </w:rPr>
        <w:t xml:space="preserve">. </w:t>
      </w:r>
    </w:p>
    <w:bookmarkEnd w:id="9"/>
    <w:p w14:paraId="6B596E71" w14:textId="77777777" w:rsidR="001600F0" w:rsidRPr="005342CB" w:rsidRDefault="001600F0" w:rsidP="001600F0">
      <w:pPr>
        <w:spacing w:after="120" w:line="240" w:lineRule="auto"/>
        <w:jc w:val="both"/>
        <w:rPr>
          <w:rFonts w:ascii="Times New Roman" w:eastAsia="SimSun"/>
          <w:lang w:eastAsia="zh-CN"/>
        </w:rPr>
      </w:pPr>
    </w:p>
    <w:p w14:paraId="60EED943" w14:textId="06000298" w:rsidR="001600F0" w:rsidRPr="00553E73" w:rsidRDefault="001600F0" w:rsidP="001600F0">
      <w:pPr>
        <w:keepNext/>
        <w:keepLines/>
        <w:numPr>
          <w:ilvl w:val="1"/>
          <w:numId w:val="4"/>
        </w:numPr>
        <w:tabs>
          <w:tab w:val="num" w:pos="360"/>
        </w:tabs>
        <w:overflowPunct w:val="0"/>
        <w:autoSpaceDE w:val="0"/>
        <w:autoSpaceDN w:val="0"/>
        <w:adjustRightInd w:val="0"/>
        <w:spacing w:before="120" w:after="180" w:line="240" w:lineRule="auto"/>
        <w:ind w:left="567" w:hanging="567"/>
        <w:textAlignment w:val="baseline"/>
        <w:outlineLvl w:val="2"/>
        <w:rPr>
          <w:rFonts w:ascii="Arial" w:eastAsia="SimSun" w:hAnsi="Arial" w:cs="Times New Roman"/>
          <w:sz w:val="28"/>
          <w:szCs w:val="20"/>
        </w:rPr>
      </w:pPr>
      <w:r w:rsidRPr="00553E73">
        <w:rPr>
          <w:rFonts w:ascii="Arial" w:eastAsia="SimSun" w:hAnsi="Arial" w:cs="Times New Roman"/>
          <w:sz w:val="28"/>
          <w:szCs w:val="20"/>
        </w:rPr>
        <w:t>RRM Measurements</w:t>
      </w:r>
      <w:r w:rsidR="00DC6105">
        <w:rPr>
          <w:rFonts w:ascii="Arial" w:eastAsia="SimSun" w:hAnsi="Arial" w:cs="Times New Roman"/>
          <w:sz w:val="28"/>
          <w:szCs w:val="20"/>
        </w:rPr>
        <w:t xml:space="preserve"> and SRS transmission</w:t>
      </w:r>
    </w:p>
    <w:p w14:paraId="314E1F80" w14:textId="66D88C27" w:rsidR="000B442C" w:rsidRPr="005342CB" w:rsidRDefault="001600F0" w:rsidP="001600F0">
      <w:pPr>
        <w:spacing w:after="120" w:line="240" w:lineRule="auto"/>
        <w:jc w:val="both"/>
        <w:rPr>
          <w:rFonts w:ascii="Times New Roman" w:eastAsia="SimSun"/>
          <w:lang w:eastAsia="zh-CN"/>
        </w:rPr>
      </w:pPr>
      <w:r w:rsidRPr="004B1850">
        <w:rPr>
          <w:rFonts w:ascii="Times New Roman" w:eastAsia="SimSun"/>
          <w:lang w:eastAsia="zh-CN"/>
        </w:rPr>
        <w:t>In RAN1#90</w:t>
      </w:r>
      <w:r w:rsidR="00994FB8" w:rsidRPr="004B1850">
        <w:rPr>
          <w:rFonts w:ascii="Times New Roman" w:eastAsia="SimSun"/>
          <w:lang w:eastAsia="zh-CN"/>
        </w:rPr>
        <w:t>, companies</w:t>
      </w:r>
      <w:r w:rsidRPr="004B1850">
        <w:rPr>
          <w:rFonts w:ascii="Times New Roman" w:eastAsia="SimSun"/>
          <w:lang w:eastAsia="zh-CN"/>
        </w:rPr>
        <w:t xml:space="preserve"> agreed that RRM measurement</w:t>
      </w:r>
      <w:r w:rsidR="00994FB8" w:rsidRPr="004B1850">
        <w:rPr>
          <w:rFonts w:ascii="Times New Roman" w:eastAsia="SimSun"/>
          <w:lang w:eastAsia="zh-CN"/>
        </w:rPr>
        <w:t>s</w:t>
      </w:r>
      <w:r w:rsidRPr="004B1850">
        <w:rPr>
          <w:rFonts w:ascii="Times New Roman" w:eastAsia="SimSun"/>
          <w:lang w:eastAsia="zh-CN"/>
        </w:rPr>
        <w:t xml:space="preserve"> and SRS transmissions can be configured outside</w:t>
      </w:r>
      <w:r w:rsidR="00994FB8" w:rsidRPr="004B1850">
        <w:rPr>
          <w:rFonts w:ascii="Times New Roman" w:eastAsia="SimSun"/>
          <w:lang w:eastAsia="zh-CN"/>
        </w:rPr>
        <w:t xml:space="preserve"> of</w:t>
      </w:r>
      <w:r w:rsidRPr="004B1850">
        <w:rPr>
          <w:rFonts w:ascii="Times New Roman" w:eastAsia="SimSun"/>
          <w:lang w:eastAsia="zh-CN"/>
        </w:rPr>
        <w:t xml:space="preserve"> the active BWP </w:t>
      </w:r>
      <w:r w:rsidR="00687CBC" w:rsidRPr="005342CB">
        <w:rPr>
          <w:rFonts w:ascii="Times New Roman" w:eastAsia="SimSun"/>
          <w:lang w:eastAsia="zh-CN"/>
        </w:rPr>
        <w:t>this being considered</w:t>
      </w:r>
      <w:r w:rsidRPr="005342CB">
        <w:rPr>
          <w:rFonts w:ascii="Times New Roman" w:eastAsia="SimSun"/>
          <w:lang w:eastAsia="zh-CN"/>
        </w:rPr>
        <w:t xml:space="preserve"> </w:t>
      </w:r>
      <w:r w:rsidR="00687CBC" w:rsidRPr="005342CB">
        <w:rPr>
          <w:rFonts w:ascii="Times New Roman" w:eastAsia="SimSun"/>
          <w:lang w:eastAsia="zh-CN"/>
        </w:rPr>
        <w:t xml:space="preserve">as a </w:t>
      </w:r>
      <w:r w:rsidRPr="005342CB">
        <w:rPr>
          <w:rFonts w:ascii="Times New Roman" w:eastAsia="SimSun"/>
          <w:lang w:eastAsia="zh-CN"/>
        </w:rPr>
        <w:t>measuring gap</w:t>
      </w:r>
      <w:r w:rsidR="000B442C" w:rsidRPr="005342CB">
        <w:rPr>
          <w:rFonts w:ascii="Times New Roman" w:eastAsia="SimSun"/>
          <w:lang w:eastAsia="zh-CN"/>
        </w:rPr>
        <w:t xml:space="preserve">. This agreement is technically </w:t>
      </w:r>
      <w:r w:rsidR="00687CBC" w:rsidRPr="005342CB">
        <w:rPr>
          <w:rFonts w:ascii="Times New Roman" w:eastAsia="SimSun"/>
          <w:lang w:eastAsia="zh-CN"/>
        </w:rPr>
        <w:t>in</w:t>
      </w:r>
      <w:r w:rsidR="000B442C" w:rsidRPr="005342CB">
        <w:rPr>
          <w:rFonts w:ascii="Times New Roman" w:eastAsia="SimSun"/>
          <w:lang w:eastAsia="zh-CN"/>
        </w:rPr>
        <w:t xml:space="preserve">correct, </w:t>
      </w:r>
      <w:r w:rsidR="00B658C6" w:rsidRPr="005342CB">
        <w:rPr>
          <w:rFonts w:ascii="Times New Roman" w:eastAsia="SimSun"/>
          <w:lang w:eastAsia="zh-CN"/>
        </w:rPr>
        <w:t>because</w:t>
      </w:r>
      <w:r w:rsidR="000B442C" w:rsidRPr="005342CB">
        <w:rPr>
          <w:rFonts w:ascii="Times New Roman" w:eastAsia="SimSun"/>
          <w:lang w:eastAsia="zh-CN"/>
        </w:rPr>
        <w:t xml:space="preserve"> SRS </w:t>
      </w:r>
      <w:r w:rsidR="00B658C6" w:rsidRPr="005342CB">
        <w:rPr>
          <w:rFonts w:ascii="Times New Roman" w:eastAsia="SimSun"/>
          <w:lang w:eastAsia="zh-CN"/>
        </w:rPr>
        <w:t>transmission</w:t>
      </w:r>
      <w:r w:rsidR="000B442C" w:rsidRPr="005342CB">
        <w:rPr>
          <w:rFonts w:ascii="Times New Roman" w:eastAsia="SimSun"/>
          <w:lang w:eastAsia="zh-CN"/>
        </w:rPr>
        <w:t xml:space="preserve"> can</w:t>
      </w:r>
      <w:r w:rsidR="00B658C6" w:rsidRPr="005342CB">
        <w:rPr>
          <w:rFonts w:ascii="Times New Roman" w:eastAsia="SimSun"/>
          <w:lang w:eastAsia="zh-CN"/>
        </w:rPr>
        <w:t xml:space="preserve">not be considered as measuring gap. Therefore, we propose the following </w:t>
      </w:r>
      <w:r w:rsidR="00687CBC" w:rsidRPr="005342CB">
        <w:rPr>
          <w:rFonts w:ascii="Times New Roman" w:eastAsia="SimSun"/>
          <w:lang w:eastAsia="zh-CN"/>
        </w:rPr>
        <w:t xml:space="preserve">correction </w:t>
      </w:r>
      <w:r w:rsidR="00B658C6" w:rsidRPr="005342CB">
        <w:rPr>
          <w:rFonts w:ascii="Times New Roman" w:eastAsia="SimSun"/>
          <w:lang w:eastAsia="zh-CN"/>
        </w:rPr>
        <w:t xml:space="preserve">of the </w:t>
      </w:r>
      <w:r w:rsidR="000E40A1" w:rsidRPr="005342CB">
        <w:rPr>
          <w:rFonts w:ascii="Times New Roman" w:eastAsia="SimSun"/>
          <w:lang w:eastAsia="zh-CN"/>
        </w:rPr>
        <w:t xml:space="preserve">previous </w:t>
      </w:r>
      <w:r w:rsidR="0081116E" w:rsidRPr="005342CB">
        <w:rPr>
          <w:rFonts w:ascii="Times New Roman" w:eastAsia="SimSun"/>
          <w:lang w:eastAsia="zh-CN"/>
        </w:rPr>
        <w:t>agreement</w:t>
      </w:r>
      <w:r w:rsidR="00687CBC" w:rsidRPr="005342CB">
        <w:rPr>
          <w:rFonts w:ascii="Times New Roman" w:eastAsia="SimSun"/>
          <w:lang w:eastAsia="zh-CN"/>
        </w:rPr>
        <w:t>:</w:t>
      </w:r>
      <w:r w:rsidR="000B442C" w:rsidRPr="005342CB">
        <w:rPr>
          <w:rFonts w:ascii="Times New Roman" w:eastAsia="SimSun"/>
          <w:lang w:eastAsia="zh-CN"/>
        </w:rPr>
        <w:t xml:space="preserve">  </w:t>
      </w:r>
    </w:p>
    <w:p w14:paraId="3A3D5BC2" w14:textId="753F343A" w:rsidR="000B442C" w:rsidRPr="005342CB" w:rsidRDefault="00F16236" w:rsidP="001600F0">
      <w:pPr>
        <w:spacing w:after="120" w:line="240" w:lineRule="auto"/>
        <w:jc w:val="both"/>
        <w:rPr>
          <w:rFonts w:ascii="Times New Roman" w:eastAsia="SimSun"/>
          <w:b/>
          <w:lang w:eastAsia="zh-CN"/>
        </w:rPr>
      </w:pPr>
      <w:r w:rsidRPr="005342CB">
        <w:rPr>
          <w:rFonts w:ascii="Times New Roman" w:eastAsia="SimSun"/>
          <w:b/>
          <w:lang w:eastAsia="zh-CN"/>
        </w:rPr>
        <w:t>Proposal</w:t>
      </w:r>
      <w:r w:rsidR="00AE2327">
        <w:rPr>
          <w:rFonts w:ascii="Times New Roman" w:eastAsia="SimSun"/>
          <w:b/>
          <w:lang w:eastAsia="zh-CN"/>
        </w:rPr>
        <w:t>-</w:t>
      </w:r>
      <w:r w:rsidR="00796E8A">
        <w:rPr>
          <w:rFonts w:ascii="Times New Roman" w:eastAsia="SimSun"/>
          <w:b/>
          <w:lang w:eastAsia="zh-CN"/>
        </w:rPr>
        <w:t>19</w:t>
      </w:r>
      <w:r w:rsidRPr="005342CB">
        <w:rPr>
          <w:rFonts w:ascii="Times New Roman" w:eastAsia="SimSun"/>
          <w:b/>
          <w:lang w:eastAsia="zh-CN"/>
        </w:rPr>
        <w:t xml:space="preserve">: </w:t>
      </w:r>
      <w:r w:rsidR="00B658C6" w:rsidRPr="005342CB">
        <w:rPr>
          <w:rFonts w:ascii="Times New Roman" w:eastAsia="SimSun"/>
          <w:b/>
          <w:lang w:eastAsia="zh-CN"/>
        </w:rPr>
        <w:t>Re</w:t>
      </w:r>
      <w:r w:rsidR="000E40A1" w:rsidRPr="005342CB">
        <w:rPr>
          <w:rFonts w:ascii="Times New Roman" w:eastAsia="SimSun"/>
          <w:b/>
          <w:lang w:eastAsia="zh-CN"/>
        </w:rPr>
        <w:t xml:space="preserve">vise </w:t>
      </w:r>
      <w:r w:rsidRPr="005342CB">
        <w:rPr>
          <w:rFonts w:ascii="Times New Roman" w:eastAsia="SimSun"/>
          <w:b/>
          <w:lang w:eastAsia="zh-CN"/>
        </w:rPr>
        <w:t>the previous</w:t>
      </w:r>
      <w:r w:rsidR="00B658C6" w:rsidRPr="005342CB">
        <w:rPr>
          <w:rFonts w:ascii="Times New Roman" w:eastAsia="SimSun"/>
          <w:b/>
          <w:lang w:eastAsia="zh-CN"/>
        </w:rPr>
        <w:t xml:space="preserve"> agreement</w:t>
      </w:r>
      <w:r w:rsidR="000E40A1" w:rsidRPr="005342CB">
        <w:rPr>
          <w:rFonts w:ascii="Times New Roman" w:eastAsia="SimSun"/>
          <w:b/>
          <w:lang w:eastAsia="zh-CN"/>
        </w:rPr>
        <w:t xml:space="preserve"> accordingly</w:t>
      </w:r>
      <w:r w:rsidR="00B658C6" w:rsidRPr="005342CB">
        <w:rPr>
          <w:rFonts w:ascii="Times New Roman" w:eastAsia="SimSun"/>
          <w:b/>
          <w:lang w:eastAsia="zh-CN"/>
        </w:rPr>
        <w:t>:</w:t>
      </w:r>
    </w:p>
    <w:p w14:paraId="5B86DECC" w14:textId="77777777" w:rsidR="00B658C6" w:rsidRPr="00687CBC" w:rsidRDefault="00B658C6" w:rsidP="00B658C6">
      <w:pPr>
        <w:numPr>
          <w:ilvl w:val="0"/>
          <w:numId w:val="23"/>
        </w:numPr>
        <w:tabs>
          <w:tab w:val="left" w:pos="720"/>
          <w:tab w:val="left" w:pos="1440"/>
        </w:tabs>
        <w:spacing w:after="0" w:line="240" w:lineRule="auto"/>
        <w:ind w:left="851"/>
        <w:contextualSpacing/>
        <w:textAlignment w:val="baseline"/>
        <w:rPr>
          <w:rFonts w:ascii="Times New Roman" w:eastAsia="Times New Roman" w:hAnsi="Times New Roman" w:cs="Times New Roman"/>
          <w:i/>
          <w:color w:val="0070C0"/>
          <w:sz w:val="20"/>
          <w:szCs w:val="20"/>
          <w:lang w:val="en-GB" w:eastAsia="fi-FI"/>
        </w:rPr>
      </w:pPr>
      <w:r w:rsidRPr="005342CB">
        <w:rPr>
          <w:rFonts w:ascii="Times" w:eastAsia="MS Mincho" w:hAnsi="Times"/>
          <w:i/>
          <w:color w:val="0070C0"/>
          <w:kern w:val="24"/>
          <w:sz w:val="20"/>
          <w:szCs w:val="20"/>
          <w:lang w:eastAsia="fi-FI"/>
        </w:rPr>
        <w:t xml:space="preserve">When a UE performs measurement or transmit SRS outside of its active BWP, it is considered as a measurement </w:t>
      </w:r>
      <w:r w:rsidRPr="005342CB">
        <w:rPr>
          <w:rFonts w:ascii="Times" w:eastAsia="MS Mincho" w:hAnsi="Times"/>
          <w:i/>
          <w:color w:val="0070C0"/>
          <w:kern w:val="24"/>
          <w:sz w:val="20"/>
          <w:szCs w:val="20"/>
          <w:highlight w:val="yellow"/>
          <w:lang w:eastAsia="fi-FI"/>
        </w:rPr>
        <w:t xml:space="preserve">resp. </w:t>
      </w:r>
      <w:r w:rsidRPr="00687CBC">
        <w:rPr>
          <w:rFonts w:ascii="Times" w:eastAsia="MS Mincho" w:hAnsi="Times"/>
          <w:i/>
          <w:color w:val="0070C0"/>
          <w:kern w:val="24"/>
          <w:sz w:val="20"/>
          <w:szCs w:val="20"/>
          <w:highlight w:val="yellow"/>
          <w:lang w:eastAsia="fi-FI"/>
        </w:rPr>
        <w:t>SRS switching gap</w:t>
      </w:r>
    </w:p>
    <w:p w14:paraId="601E0C67" w14:textId="77777777" w:rsidR="00B658C6" w:rsidRPr="004B1850" w:rsidRDefault="00B658C6" w:rsidP="00B658C6">
      <w:pPr>
        <w:numPr>
          <w:ilvl w:val="2"/>
          <w:numId w:val="23"/>
        </w:numPr>
        <w:tabs>
          <w:tab w:val="left" w:pos="1440"/>
        </w:tabs>
        <w:spacing w:after="0" w:line="240" w:lineRule="auto"/>
        <w:contextualSpacing/>
        <w:textAlignment w:val="baseline"/>
        <w:rPr>
          <w:rFonts w:ascii="Times New Roman" w:hAnsi="Times New Roman"/>
          <w:i/>
          <w:color w:val="0070C0"/>
          <w:sz w:val="20"/>
          <w:szCs w:val="20"/>
          <w:lang w:eastAsia="fi-FI"/>
        </w:rPr>
      </w:pPr>
      <w:r w:rsidRPr="004B1850">
        <w:rPr>
          <w:rFonts w:ascii="Times" w:eastAsia="MS Mincho" w:hAnsi="Times"/>
          <w:i/>
          <w:color w:val="0070C0"/>
          <w:kern w:val="24"/>
          <w:sz w:val="20"/>
          <w:szCs w:val="20"/>
          <w:lang w:eastAsia="fi-FI"/>
        </w:rPr>
        <w:t>FFS: details of measurement gap configuration</w:t>
      </w:r>
    </w:p>
    <w:p w14:paraId="7BCEB284" w14:textId="77777777" w:rsidR="00B658C6" w:rsidRPr="005342CB" w:rsidRDefault="00B658C6" w:rsidP="00B658C6">
      <w:pPr>
        <w:numPr>
          <w:ilvl w:val="2"/>
          <w:numId w:val="23"/>
        </w:numPr>
        <w:tabs>
          <w:tab w:val="left" w:pos="1440"/>
        </w:tabs>
        <w:spacing w:after="0" w:line="240" w:lineRule="auto"/>
        <w:contextualSpacing/>
        <w:textAlignment w:val="baseline"/>
        <w:rPr>
          <w:rFonts w:ascii="Times New Roman" w:hAnsi="Times New Roman"/>
          <w:i/>
          <w:color w:val="0070C0"/>
          <w:sz w:val="20"/>
          <w:szCs w:val="20"/>
          <w:highlight w:val="yellow"/>
          <w:lang w:eastAsia="fi-FI"/>
        </w:rPr>
      </w:pPr>
      <w:r w:rsidRPr="005342CB">
        <w:rPr>
          <w:rFonts w:ascii="Times" w:eastAsia="MS Mincho" w:hAnsi="Times"/>
          <w:i/>
          <w:color w:val="0070C0"/>
          <w:kern w:val="24"/>
          <w:sz w:val="20"/>
          <w:szCs w:val="20"/>
          <w:highlight w:val="yellow"/>
          <w:lang w:eastAsia="fi-FI"/>
        </w:rPr>
        <w:t>FFS: detail of SRS switching gap configuration</w:t>
      </w:r>
    </w:p>
    <w:p w14:paraId="43A36FC2" w14:textId="77777777" w:rsidR="00B658C6" w:rsidRPr="005342CB" w:rsidRDefault="00B658C6" w:rsidP="00B658C6">
      <w:pPr>
        <w:rPr>
          <w:rFonts w:ascii="Times" w:eastAsia="MS Mincho" w:hAnsi="Times"/>
          <w:i/>
          <w:color w:val="0070C0"/>
          <w:kern w:val="24"/>
          <w:sz w:val="20"/>
          <w:szCs w:val="20"/>
          <w:lang w:eastAsia="fi-FI"/>
        </w:rPr>
      </w:pPr>
      <w:r w:rsidRPr="005342CB">
        <w:rPr>
          <w:rFonts w:ascii="Times" w:eastAsia="MS Mincho" w:hAnsi="Times"/>
          <w:i/>
          <w:color w:val="0070C0"/>
          <w:kern w:val="24"/>
          <w:sz w:val="20"/>
          <w:szCs w:val="20"/>
          <w:lang w:eastAsia="fi-FI"/>
        </w:rPr>
        <w:t>During the measurement gap, UE is not expected to monitor CORESET.</w:t>
      </w:r>
    </w:p>
    <w:p w14:paraId="30C0F56F" w14:textId="77777777" w:rsidR="00B658C6" w:rsidRPr="005342CB" w:rsidRDefault="00B658C6" w:rsidP="001600F0">
      <w:pPr>
        <w:spacing w:after="120" w:line="240" w:lineRule="auto"/>
        <w:jc w:val="both"/>
        <w:rPr>
          <w:rFonts w:ascii="Times New Roman" w:eastAsia="SimSun"/>
          <w:lang w:eastAsia="zh-CN"/>
        </w:rPr>
      </w:pPr>
    </w:p>
    <w:p w14:paraId="024419F5" w14:textId="49F51A09" w:rsidR="00DD11D0" w:rsidRDefault="001600F0" w:rsidP="00DB72AF">
      <w:pPr>
        <w:spacing w:after="0" w:line="240" w:lineRule="auto"/>
        <w:jc w:val="both"/>
        <w:rPr>
          <w:rFonts w:ascii="Times New Roman" w:eastAsia="SimSun"/>
          <w:lang w:eastAsia="zh-CN"/>
        </w:rPr>
      </w:pPr>
      <w:r w:rsidRPr="005342CB">
        <w:rPr>
          <w:rFonts w:ascii="Times New Roman" w:eastAsia="SimSun"/>
          <w:lang w:eastAsia="zh-CN"/>
        </w:rPr>
        <w:t xml:space="preserve">The RRM measurements can be </w:t>
      </w:r>
      <w:r w:rsidR="00DB72AF" w:rsidRPr="005342CB">
        <w:rPr>
          <w:rFonts w:ascii="Times New Roman" w:eastAsia="SimSun"/>
          <w:lang w:eastAsia="zh-CN"/>
        </w:rPr>
        <w:t>performed</w:t>
      </w:r>
      <w:r w:rsidRPr="005342CB">
        <w:rPr>
          <w:rFonts w:ascii="Times New Roman" w:eastAsia="SimSun"/>
          <w:lang w:eastAsia="zh-CN"/>
        </w:rPr>
        <w:t xml:space="preserve"> </w:t>
      </w:r>
      <w:r w:rsidR="00994FB8" w:rsidRPr="005342CB">
        <w:rPr>
          <w:rFonts w:ascii="Times New Roman" w:eastAsia="SimSun"/>
          <w:lang w:eastAsia="zh-CN"/>
        </w:rPr>
        <w:t xml:space="preserve">on </w:t>
      </w:r>
      <w:r w:rsidRPr="005342CB">
        <w:rPr>
          <w:rFonts w:ascii="Times New Roman" w:eastAsia="SimSun"/>
          <w:lang w:eastAsia="zh-CN"/>
        </w:rPr>
        <w:t>a (i) SSB and</w:t>
      </w:r>
      <w:r w:rsidR="00994FB8" w:rsidRPr="005342CB">
        <w:rPr>
          <w:rFonts w:ascii="Times New Roman" w:eastAsia="SimSun"/>
          <w:lang w:eastAsia="zh-CN"/>
        </w:rPr>
        <w:t xml:space="preserve"> also</w:t>
      </w:r>
      <w:r w:rsidRPr="005342CB">
        <w:rPr>
          <w:rFonts w:ascii="Times New Roman" w:eastAsia="SimSun"/>
          <w:lang w:eastAsia="zh-CN"/>
        </w:rPr>
        <w:t xml:space="preserve"> (ii) CSI-RS</w:t>
      </w:r>
      <w:r w:rsidR="00994FB8" w:rsidRPr="005342CB">
        <w:rPr>
          <w:rFonts w:ascii="Times New Roman" w:eastAsia="SimSun"/>
          <w:lang w:eastAsia="zh-CN"/>
        </w:rPr>
        <w:t>, because BWP does not necessarily contain a SSB</w:t>
      </w:r>
      <w:r w:rsidRPr="005342CB">
        <w:rPr>
          <w:rFonts w:ascii="Times New Roman" w:eastAsia="SimSun"/>
          <w:lang w:eastAsia="zh-CN"/>
        </w:rPr>
        <w:t>. In case the measurement is performed on CSI-RS, consider measurements only on a configured BWP</w:t>
      </w:r>
      <w:r w:rsidR="00994FB8" w:rsidRPr="005342CB">
        <w:rPr>
          <w:rFonts w:ascii="Times New Roman" w:eastAsia="SimSun"/>
          <w:lang w:eastAsia="zh-CN"/>
        </w:rPr>
        <w:t>, i.e. reuse frequency resource allocation used for configuration of a non-default BWP</w:t>
      </w:r>
      <w:r w:rsidRPr="005342CB">
        <w:rPr>
          <w:rFonts w:ascii="Times New Roman" w:eastAsia="SimSun"/>
          <w:lang w:eastAsia="zh-CN"/>
        </w:rPr>
        <w:t>. The CSI-RS are expected to be transmitte</w:t>
      </w:r>
      <w:r w:rsidR="00F16236" w:rsidRPr="005342CB">
        <w:rPr>
          <w:rFonts w:ascii="Times New Roman" w:eastAsia="SimSun"/>
          <w:lang w:eastAsia="zh-CN"/>
        </w:rPr>
        <w:t>d within the full</w:t>
      </w:r>
      <w:r w:rsidR="00DB72AF" w:rsidRPr="005342CB">
        <w:rPr>
          <w:rFonts w:ascii="Times New Roman" w:eastAsia="SimSun"/>
          <w:lang w:eastAsia="zh-CN"/>
        </w:rPr>
        <w:t xml:space="preserve"> or partial</w:t>
      </w:r>
      <w:r w:rsidR="00F16236" w:rsidRPr="005342CB">
        <w:rPr>
          <w:rFonts w:ascii="Times New Roman" w:eastAsia="SimSun"/>
          <w:lang w:eastAsia="zh-CN"/>
        </w:rPr>
        <w:t xml:space="preserve"> BW of a BWP. </w:t>
      </w:r>
      <w:r w:rsidRPr="005342CB">
        <w:rPr>
          <w:rFonts w:ascii="Times New Roman" w:eastAsia="SimSun"/>
          <w:lang w:eastAsia="zh-CN"/>
        </w:rPr>
        <w:t>Similarly, the SRS can be transmitted across the full</w:t>
      </w:r>
      <w:r w:rsidR="00DB72AF" w:rsidRPr="005342CB">
        <w:rPr>
          <w:rFonts w:ascii="Times New Roman" w:eastAsia="SimSun"/>
          <w:lang w:eastAsia="zh-CN"/>
        </w:rPr>
        <w:t xml:space="preserve"> or partial</w:t>
      </w:r>
      <w:r w:rsidRPr="005342CB">
        <w:rPr>
          <w:rFonts w:ascii="Times New Roman" w:eastAsia="SimSun"/>
          <w:lang w:eastAsia="zh-CN"/>
        </w:rPr>
        <w:t xml:space="preserve"> BW of a configured </w:t>
      </w:r>
      <w:r w:rsidR="00994FB8" w:rsidRPr="005342CB">
        <w:rPr>
          <w:rFonts w:ascii="Times New Roman" w:eastAsia="SimSun"/>
          <w:lang w:eastAsia="zh-CN"/>
        </w:rPr>
        <w:t xml:space="preserve">UL </w:t>
      </w:r>
      <w:r w:rsidRPr="005342CB">
        <w:rPr>
          <w:rFonts w:ascii="Times New Roman" w:eastAsia="SimSun"/>
          <w:lang w:eastAsia="zh-CN"/>
        </w:rPr>
        <w:t>BWP.</w:t>
      </w:r>
      <w:r w:rsidR="00994FB8" w:rsidRPr="005342CB">
        <w:rPr>
          <w:rFonts w:ascii="Times New Roman" w:eastAsia="SimSun"/>
          <w:lang w:eastAsia="zh-CN"/>
        </w:rPr>
        <w:t xml:space="preserve"> In RAN4</w:t>
      </w:r>
      <w:r w:rsidR="0087142A" w:rsidRPr="005342CB">
        <w:rPr>
          <w:rFonts w:ascii="Times New Roman" w:eastAsia="SimSun"/>
          <w:lang w:eastAsia="zh-CN"/>
        </w:rPr>
        <w:t>,</w:t>
      </w:r>
      <w:r w:rsidR="00994FB8" w:rsidRPr="005342CB">
        <w:rPr>
          <w:rFonts w:ascii="Times New Roman" w:eastAsia="SimSun"/>
          <w:lang w:eastAsia="zh-CN"/>
        </w:rPr>
        <w:t xml:space="preserve"> the measurements outside of active BWP can be treat</w:t>
      </w:r>
      <w:r w:rsidR="001E0A37" w:rsidRPr="005342CB">
        <w:rPr>
          <w:rFonts w:ascii="Times New Roman" w:eastAsia="SimSun"/>
          <w:lang w:eastAsia="zh-CN"/>
        </w:rPr>
        <w:t>e</w:t>
      </w:r>
      <w:r w:rsidR="00994FB8" w:rsidRPr="005342CB">
        <w:rPr>
          <w:rFonts w:ascii="Times New Roman" w:eastAsia="SimSun"/>
          <w:lang w:eastAsia="zh-CN"/>
        </w:rPr>
        <w:t>d a</w:t>
      </w:r>
      <w:r w:rsidR="001E0A37" w:rsidRPr="005342CB">
        <w:rPr>
          <w:rFonts w:ascii="Times New Roman" w:eastAsia="SimSun"/>
          <w:lang w:eastAsia="zh-CN"/>
        </w:rPr>
        <w:t xml:space="preserve">s </w:t>
      </w:r>
      <w:r w:rsidR="00994FB8" w:rsidRPr="005342CB">
        <w:rPr>
          <w:rFonts w:ascii="Times New Roman" w:eastAsia="SimSun"/>
          <w:lang w:eastAsia="zh-CN"/>
        </w:rPr>
        <w:t>inter-f measurements, and it is FFS what should be the accuracy of these measurements.</w:t>
      </w:r>
      <w:r w:rsidRPr="005342CB">
        <w:rPr>
          <w:rFonts w:ascii="Times New Roman" w:eastAsia="SimSun"/>
          <w:lang w:eastAsia="zh-CN"/>
        </w:rPr>
        <w:t xml:space="preserve"> </w:t>
      </w:r>
      <w:r w:rsidR="00F16236" w:rsidRPr="005342CB">
        <w:rPr>
          <w:rFonts w:ascii="Times New Roman" w:eastAsia="SimSun"/>
          <w:lang w:eastAsia="zh-CN"/>
        </w:rPr>
        <w:t>Also</w:t>
      </w:r>
      <w:r w:rsidR="0002011C">
        <w:rPr>
          <w:rFonts w:ascii="Times New Roman" w:eastAsia="SimSun"/>
          <w:lang w:eastAsia="zh-CN"/>
        </w:rPr>
        <w:t>,</w:t>
      </w:r>
      <w:r w:rsidR="00F16236" w:rsidRPr="005342CB">
        <w:rPr>
          <w:rFonts w:ascii="Times New Roman" w:eastAsia="SimSun"/>
          <w:lang w:eastAsia="zh-CN"/>
        </w:rPr>
        <w:t xml:space="preserve"> it should be further studies whether SRS switching and RRM measurements are periodic or only aperiodic and whether periodic SRS switching and RRM measurements</w:t>
      </w:r>
      <w:r w:rsidR="00DB72AF" w:rsidRPr="005342CB">
        <w:rPr>
          <w:rFonts w:ascii="Times New Roman" w:eastAsia="SimSun"/>
          <w:lang w:eastAsia="zh-CN"/>
        </w:rPr>
        <w:t>, if supported</w:t>
      </w:r>
      <w:r w:rsidR="00205B79">
        <w:rPr>
          <w:rFonts w:ascii="Times New Roman" w:eastAsia="SimSun"/>
          <w:lang w:eastAsia="zh-CN"/>
        </w:rPr>
        <w:t>,</w:t>
      </w:r>
      <w:r w:rsidR="00F16236" w:rsidRPr="005342CB">
        <w:rPr>
          <w:rFonts w:ascii="Times New Roman" w:eastAsia="SimSun"/>
          <w:lang w:eastAsia="zh-CN"/>
        </w:rPr>
        <w:t xml:space="preserve"> can be overridden by </w:t>
      </w:r>
      <w:r w:rsidR="00DB72AF" w:rsidRPr="005342CB">
        <w:rPr>
          <w:rFonts w:ascii="Times New Roman" w:eastAsia="SimSun"/>
          <w:lang w:eastAsia="zh-CN"/>
        </w:rPr>
        <w:t xml:space="preserve">other </w:t>
      </w:r>
      <w:r w:rsidR="00F16236" w:rsidRPr="005342CB">
        <w:rPr>
          <w:rFonts w:ascii="Times New Roman" w:eastAsia="SimSun"/>
          <w:lang w:eastAsia="zh-CN"/>
        </w:rPr>
        <w:t xml:space="preserve">dynamic indication. For example, if PUCCH transmission collides with SRS switching gap. </w:t>
      </w:r>
    </w:p>
    <w:p w14:paraId="35CDC324" w14:textId="77777777" w:rsidR="00DD11D0" w:rsidRDefault="00DD11D0" w:rsidP="00DB72AF">
      <w:pPr>
        <w:spacing w:after="0" w:line="240" w:lineRule="auto"/>
        <w:jc w:val="both"/>
        <w:rPr>
          <w:rFonts w:ascii="Times New Roman" w:eastAsia="SimSun"/>
          <w:lang w:eastAsia="zh-CN"/>
        </w:rPr>
      </w:pPr>
    </w:p>
    <w:p w14:paraId="3D19C751" w14:textId="2E36F0B2" w:rsidR="001600F0" w:rsidRPr="005342CB" w:rsidRDefault="001600F0" w:rsidP="00DB72AF">
      <w:pPr>
        <w:spacing w:after="0" w:line="240" w:lineRule="auto"/>
        <w:jc w:val="both"/>
        <w:rPr>
          <w:rFonts w:ascii="Times New Roman" w:eastAsia="SimSun"/>
          <w:b/>
          <w:lang w:eastAsia="zh-CN"/>
        </w:rPr>
      </w:pPr>
      <w:r w:rsidRPr="005342CB">
        <w:rPr>
          <w:rFonts w:ascii="Times New Roman" w:eastAsia="SimSun"/>
          <w:b/>
          <w:lang w:eastAsia="zh-CN"/>
        </w:rPr>
        <w:t>Proposal-</w:t>
      </w:r>
      <w:r w:rsidR="00E24280" w:rsidRPr="005342CB">
        <w:rPr>
          <w:rFonts w:ascii="Times New Roman" w:eastAsia="SimSun"/>
          <w:b/>
          <w:lang w:eastAsia="zh-CN"/>
        </w:rPr>
        <w:t>2</w:t>
      </w:r>
      <w:r w:rsidR="00796E8A">
        <w:rPr>
          <w:rFonts w:ascii="Times New Roman" w:eastAsia="SimSun"/>
          <w:b/>
          <w:lang w:eastAsia="zh-CN"/>
        </w:rPr>
        <w:t>0</w:t>
      </w:r>
      <w:r w:rsidRPr="005342CB">
        <w:rPr>
          <w:rFonts w:ascii="Times New Roman" w:eastAsia="SimSun"/>
          <w:b/>
          <w:lang w:eastAsia="zh-CN"/>
        </w:rPr>
        <w:t xml:space="preserve">: </w:t>
      </w:r>
      <w:r w:rsidR="00F16236" w:rsidRPr="005342CB">
        <w:rPr>
          <w:rFonts w:ascii="Times New Roman" w:eastAsia="SimSun"/>
          <w:b/>
          <w:lang w:eastAsia="zh-CN"/>
        </w:rPr>
        <w:t xml:space="preserve">Support at least </w:t>
      </w:r>
      <w:r w:rsidR="00205B79">
        <w:rPr>
          <w:rFonts w:ascii="Times New Roman" w:eastAsia="SimSun"/>
          <w:b/>
          <w:lang w:eastAsia="zh-CN"/>
        </w:rPr>
        <w:t>aperiodic/</w:t>
      </w:r>
      <w:r w:rsidR="00F16236" w:rsidRPr="005342CB">
        <w:rPr>
          <w:rFonts w:ascii="Times New Roman" w:eastAsia="SimSun"/>
          <w:b/>
          <w:lang w:eastAsia="zh-CN"/>
        </w:rPr>
        <w:t>trigger</w:t>
      </w:r>
      <w:r w:rsidR="00DD11D0">
        <w:rPr>
          <w:rFonts w:ascii="Times New Roman" w:eastAsia="SimSun"/>
          <w:b/>
          <w:lang w:eastAsia="zh-CN"/>
        </w:rPr>
        <w:t>ed</w:t>
      </w:r>
      <w:r w:rsidR="00F16236" w:rsidRPr="005342CB">
        <w:rPr>
          <w:rFonts w:ascii="Times New Roman" w:eastAsia="SimSun"/>
          <w:b/>
          <w:lang w:eastAsia="zh-CN"/>
        </w:rPr>
        <w:t xml:space="preserve"> RRM measurements and SRS transmissions outside of active BWP</w:t>
      </w:r>
    </w:p>
    <w:p w14:paraId="36FA8572" w14:textId="7E527BA6" w:rsidR="00F16236" w:rsidRPr="00F16236" w:rsidRDefault="00F16236" w:rsidP="00F16236">
      <w:pPr>
        <w:pStyle w:val="ListParagraph"/>
        <w:numPr>
          <w:ilvl w:val="0"/>
          <w:numId w:val="24"/>
        </w:numPr>
        <w:spacing w:after="120" w:line="240" w:lineRule="auto"/>
        <w:jc w:val="both"/>
        <w:rPr>
          <w:rFonts w:ascii="Times New Roman" w:eastAsia="SimSun"/>
          <w:b/>
          <w:lang w:eastAsia="zh-CN"/>
        </w:rPr>
      </w:pPr>
      <w:r>
        <w:rPr>
          <w:rFonts w:ascii="Times New Roman" w:eastAsia="SimSun"/>
          <w:b/>
          <w:lang w:eastAsia="zh-CN"/>
        </w:rPr>
        <w:t>FFS on periodic</w:t>
      </w:r>
      <w:r w:rsidR="00205B79">
        <w:rPr>
          <w:rFonts w:ascii="Times New Roman" w:eastAsia="SimSun"/>
          <w:b/>
          <w:lang w:eastAsia="zh-CN"/>
        </w:rPr>
        <w:t>.</w:t>
      </w:r>
      <w:r>
        <w:rPr>
          <w:rFonts w:ascii="Times New Roman" w:eastAsia="SimSun"/>
          <w:b/>
          <w:lang w:eastAsia="zh-CN"/>
        </w:rPr>
        <w:t xml:space="preserve"> </w:t>
      </w:r>
    </w:p>
    <w:bookmarkEnd w:id="4"/>
    <w:bookmarkEnd w:id="5"/>
    <w:p w14:paraId="3BC759D8" w14:textId="1E3A0ED5" w:rsidR="005B6509" w:rsidRPr="00C23119" w:rsidRDefault="001600F0" w:rsidP="005B6509">
      <w:pPr>
        <w:pStyle w:val="Heading1"/>
        <w:rPr>
          <w:lang w:val="en-US"/>
        </w:rPr>
      </w:pPr>
      <w:r>
        <w:rPr>
          <w:lang w:val="en-US"/>
        </w:rPr>
        <w:t>7</w:t>
      </w:r>
      <w:r w:rsidR="00F166FD">
        <w:rPr>
          <w:lang w:val="en-US"/>
        </w:rPr>
        <w:t xml:space="preserve"> </w:t>
      </w:r>
      <w:r w:rsidR="005B6509" w:rsidRPr="00C23119">
        <w:rPr>
          <w:lang w:val="en-US"/>
        </w:rPr>
        <w:t>Conclusion</w:t>
      </w:r>
      <w:r w:rsidR="00A07F41" w:rsidRPr="00C23119">
        <w:rPr>
          <w:lang w:val="en-US"/>
        </w:rPr>
        <w:t>s</w:t>
      </w:r>
    </w:p>
    <w:p w14:paraId="69CE8FC7" w14:textId="504ED794" w:rsidR="001F1089" w:rsidRPr="007562D4" w:rsidRDefault="001F1089" w:rsidP="00CB6E3B">
      <w:pPr>
        <w:jc w:val="both"/>
        <w:rPr>
          <w:rFonts w:ascii="Times New Roman" w:hAnsi="Times New Roman" w:cs="Times New Roman"/>
        </w:rPr>
      </w:pPr>
      <w:bookmarkStart w:id="10" w:name="OLE_LINK43"/>
      <w:bookmarkStart w:id="11" w:name="OLE_LINK44"/>
      <w:bookmarkStart w:id="12" w:name="OLE_LINK34"/>
      <w:bookmarkStart w:id="13" w:name="OLE_LINK35"/>
      <w:r w:rsidRPr="004B1850">
        <w:rPr>
          <w:rFonts w:ascii="Times New Roman" w:hAnsi="Times New Roman" w:cs="Times New Roman"/>
        </w:rPr>
        <w:t>In this contribution</w:t>
      </w:r>
      <w:r w:rsidR="006D7C55" w:rsidRPr="004B1850">
        <w:rPr>
          <w:rFonts w:ascii="Times New Roman" w:hAnsi="Times New Roman" w:cs="Times New Roman"/>
        </w:rPr>
        <w:t>,</w:t>
      </w:r>
      <w:r w:rsidRPr="004B1850">
        <w:rPr>
          <w:rFonts w:ascii="Times New Roman" w:hAnsi="Times New Roman" w:cs="Times New Roman"/>
        </w:rPr>
        <w:t xml:space="preserve"> </w:t>
      </w:r>
      <w:r w:rsidR="005A2DA3" w:rsidRPr="004B1850">
        <w:rPr>
          <w:rFonts w:ascii="Times New Roman" w:hAnsi="Times New Roman" w:cs="Times New Roman"/>
        </w:rPr>
        <w:t xml:space="preserve">we have discussed </w:t>
      </w:r>
      <w:r w:rsidR="00593F51" w:rsidRPr="004B1850">
        <w:rPr>
          <w:rFonts w:ascii="Times New Roman" w:hAnsi="Times New Roman" w:cs="Times New Roman"/>
        </w:rPr>
        <w:t>aspects of NR carrier aggregation</w:t>
      </w:r>
      <w:r w:rsidR="001600F0" w:rsidRPr="004B1850">
        <w:rPr>
          <w:rFonts w:ascii="Times New Roman" w:hAnsi="Times New Roman" w:cs="Times New Roman"/>
        </w:rPr>
        <w:t xml:space="preserve"> an BWPs. </w:t>
      </w:r>
      <w:r w:rsidR="001600F0">
        <w:rPr>
          <w:rFonts w:ascii="Times New Roman" w:hAnsi="Times New Roman" w:cs="Times New Roman"/>
        </w:rPr>
        <w:t>W</w:t>
      </w:r>
      <w:r w:rsidR="00593F51" w:rsidRPr="007562D4">
        <w:rPr>
          <w:rFonts w:ascii="Times New Roman" w:hAnsi="Times New Roman" w:cs="Times New Roman"/>
        </w:rPr>
        <w:t>e have the following observations and proposals:</w:t>
      </w:r>
    </w:p>
    <w:bookmarkEnd w:id="10"/>
    <w:bookmarkEnd w:id="11"/>
    <w:bookmarkEnd w:id="12"/>
    <w:bookmarkEnd w:id="13"/>
    <w:p w14:paraId="38BE739D" w14:textId="77777777" w:rsidR="00796E8A" w:rsidRPr="004B1850" w:rsidRDefault="00796E8A" w:rsidP="00796E8A">
      <w:pPr>
        <w:spacing w:after="0"/>
        <w:jc w:val="both"/>
        <w:rPr>
          <w:rFonts w:ascii="Times New Roman"/>
          <w:b/>
        </w:rPr>
      </w:pPr>
      <w:r w:rsidRPr="004B1850">
        <w:rPr>
          <w:rFonts w:ascii="Times New Roman"/>
          <w:b/>
        </w:rPr>
        <w:t>Proposal-1: In NR, a primary cell:</w:t>
      </w:r>
    </w:p>
    <w:p w14:paraId="7D662639" w14:textId="77777777" w:rsidR="00796E8A" w:rsidRPr="004B1850" w:rsidRDefault="00796E8A" w:rsidP="00796E8A">
      <w:pPr>
        <w:pStyle w:val="ListParagraph"/>
        <w:numPr>
          <w:ilvl w:val="0"/>
          <w:numId w:val="5"/>
        </w:numPr>
        <w:jc w:val="both"/>
        <w:rPr>
          <w:rFonts w:ascii="Times New Roman"/>
          <w:b/>
        </w:rPr>
      </w:pPr>
      <w:r w:rsidRPr="004B1850">
        <w:rPr>
          <w:rFonts w:ascii="Times New Roman"/>
          <w:b/>
        </w:rPr>
        <w:t>consists of UL PCC and DL PCC that carry the RRC connection, UCI, PUCCH and common search space.</w:t>
      </w:r>
    </w:p>
    <w:p w14:paraId="52D550E4" w14:textId="77777777" w:rsidR="00796E8A" w:rsidRPr="004B1850" w:rsidRDefault="00796E8A" w:rsidP="00796E8A">
      <w:pPr>
        <w:pStyle w:val="ListParagraph"/>
        <w:numPr>
          <w:ilvl w:val="0"/>
          <w:numId w:val="5"/>
        </w:numPr>
        <w:jc w:val="both"/>
        <w:rPr>
          <w:rFonts w:ascii="Times New Roman"/>
          <w:b/>
        </w:rPr>
      </w:pPr>
      <w:r w:rsidRPr="004B1850">
        <w:rPr>
          <w:rFonts w:ascii="Times New Roman"/>
          <w:b/>
        </w:rPr>
        <w:t>UL and/or DL PCC can be semi-statically changed between CCs of a cell-group</w:t>
      </w:r>
    </w:p>
    <w:p w14:paraId="5C8D2227" w14:textId="0F718DC9" w:rsidR="00796E8A" w:rsidRDefault="00796E8A" w:rsidP="00796E8A">
      <w:r w:rsidRPr="004B1850">
        <w:rPr>
          <w:rFonts w:ascii="Times New Roman"/>
          <w:b/>
        </w:rPr>
        <w:t>Proposal-2</w:t>
      </w:r>
      <w:r w:rsidR="003760F6">
        <w:rPr>
          <w:rFonts w:ascii="Times New Roman"/>
          <w:b/>
        </w:rPr>
        <w:t>:</w:t>
      </w:r>
      <w:r w:rsidRPr="004B1850">
        <w:rPr>
          <w:rFonts w:ascii="Times New Roman"/>
          <w:b/>
        </w:rPr>
        <w:t xml:space="preserve"> SCC can be UL-only CC, DL-only CC or UL&amp;DL CC. </w:t>
      </w:r>
    </w:p>
    <w:p w14:paraId="2D641E84" w14:textId="1259097A" w:rsidR="00796E8A" w:rsidRPr="00796E8A" w:rsidRDefault="00796E8A" w:rsidP="00796E8A">
      <w:pPr>
        <w:rPr>
          <w:rFonts w:ascii="Times New Roman" w:hAnsi="Times New Roman" w:cs="Times New Roman"/>
          <w:b/>
          <w:lang w:val="en-GB"/>
        </w:rPr>
      </w:pPr>
      <w:r w:rsidRPr="00796E8A">
        <w:rPr>
          <w:rFonts w:ascii="Times New Roman" w:hAnsi="Times New Roman" w:cs="Times New Roman"/>
          <w:b/>
        </w:rPr>
        <w:t>Proposal-3</w:t>
      </w:r>
      <w:r w:rsidR="003760F6">
        <w:rPr>
          <w:rFonts w:ascii="Times New Roman" w:hAnsi="Times New Roman" w:cs="Times New Roman"/>
          <w:b/>
        </w:rPr>
        <w:t>:</w:t>
      </w:r>
      <w:r w:rsidRPr="00796E8A">
        <w:rPr>
          <w:rFonts w:ascii="Times New Roman" w:hAnsi="Times New Roman" w:cs="Times New Roman"/>
          <w:b/>
        </w:rPr>
        <w:t xml:space="preserve"> </w:t>
      </w:r>
      <w:r w:rsidRPr="00796E8A">
        <w:rPr>
          <w:rFonts w:ascii="Times New Roman" w:hAnsi="Times New Roman" w:cs="Times New Roman"/>
          <w:b/>
          <w:lang w:val="en-GB"/>
        </w:rPr>
        <w:t xml:space="preserve">In R15, in each cell a single UL and/or DL BWP is active at a given time. </w:t>
      </w:r>
    </w:p>
    <w:p w14:paraId="74F37A74" w14:textId="77777777" w:rsidR="00796E8A" w:rsidRPr="004B1850" w:rsidRDefault="00796E8A" w:rsidP="00796E8A">
      <w:pPr>
        <w:jc w:val="both"/>
        <w:rPr>
          <w:rFonts w:ascii="Times New Roman"/>
          <w:b/>
          <w:bCs/>
          <w:lang w:eastAsia="zh-CN"/>
        </w:rPr>
      </w:pPr>
      <w:r w:rsidRPr="004B1850">
        <w:rPr>
          <w:rFonts w:ascii="Times New Roman"/>
          <w:b/>
          <w:bCs/>
          <w:lang w:eastAsia="zh-CN"/>
        </w:rPr>
        <w:t>Observation-1: To enable full support of cross-numerology-carrier scheduling, RAN1 specification should support both: one-to-many slot-based cross-numerology scheduling and many-to-one slot-based cross-numerology scheduling.</w:t>
      </w:r>
    </w:p>
    <w:p w14:paraId="3BAD9F70" w14:textId="77777777" w:rsidR="00796E8A" w:rsidRDefault="00796E8A" w:rsidP="00796E8A">
      <w:pPr>
        <w:spacing w:after="0"/>
        <w:jc w:val="both"/>
        <w:rPr>
          <w:rFonts w:ascii="Times New Roman"/>
          <w:b/>
          <w:bCs/>
          <w:lang w:eastAsia="zh-CN"/>
        </w:rPr>
      </w:pPr>
      <w:r w:rsidRPr="002115A4">
        <w:rPr>
          <w:rFonts w:ascii="Times New Roman"/>
          <w:b/>
          <w:bCs/>
          <w:lang w:eastAsia="zh-CN"/>
        </w:rPr>
        <w:t>Proposal</w:t>
      </w:r>
      <w:r>
        <w:rPr>
          <w:rFonts w:ascii="Times New Roman"/>
          <w:b/>
          <w:bCs/>
          <w:lang w:eastAsia="zh-CN"/>
        </w:rPr>
        <w:t>-4</w:t>
      </w:r>
      <w:r w:rsidRPr="002115A4">
        <w:rPr>
          <w:rFonts w:ascii="Times New Roman"/>
          <w:b/>
          <w:bCs/>
          <w:lang w:eastAsia="zh-CN"/>
        </w:rPr>
        <w:t xml:space="preserve">: </w:t>
      </w:r>
    </w:p>
    <w:p w14:paraId="0ECA69BA" w14:textId="77777777" w:rsidR="00796E8A" w:rsidRPr="004B1850" w:rsidRDefault="00796E8A" w:rsidP="00796E8A">
      <w:pPr>
        <w:pStyle w:val="ListParagraph"/>
        <w:numPr>
          <w:ilvl w:val="0"/>
          <w:numId w:val="8"/>
        </w:numPr>
        <w:jc w:val="both"/>
        <w:rPr>
          <w:rFonts w:ascii="Times New Roman"/>
          <w:b/>
          <w:bCs/>
          <w:lang w:eastAsia="zh-CN"/>
        </w:rPr>
      </w:pPr>
      <w:r w:rsidRPr="004B1850">
        <w:rPr>
          <w:rFonts w:ascii="Times New Roman"/>
          <w:b/>
          <w:bCs/>
          <w:lang w:eastAsia="zh-CN"/>
        </w:rPr>
        <w:t xml:space="preserve">In R15 NR, support cross-carrier scheduling only be means of single-slot/mini-slot scheduling. </w:t>
      </w:r>
    </w:p>
    <w:p w14:paraId="0646B67A" w14:textId="77777777" w:rsidR="00796E8A" w:rsidRPr="004B1850" w:rsidRDefault="00796E8A" w:rsidP="00796E8A">
      <w:pPr>
        <w:pStyle w:val="ListParagraph"/>
        <w:numPr>
          <w:ilvl w:val="0"/>
          <w:numId w:val="8"/>
        </w:numPr>
        <w:jc w:val="both"/>
        <w:rPr>
          <w:rFonts w:ascii="Times New Roman"/>
          <w:b/>
          <w:bCs/>
          <w:lang w:eastAsia="zh-CN"/>
        </w:rPr>
      </w:pPr>
      <w:r w:rsidRPr="004B1850">
        <w:rPr>
          <w:rFonts w:ascii="Times New Roman"/>
          <w:b/>
          <w:bCs/>
          <w:lang w:eastAsia="zh-CN"/>
        </w:rPr>
        <w:t>For future NR releases consider support of cross-carrier scheduling</w:t>
      </w:r>
      <w:r>
        <w:rPr>
          <w:rFonts w:ascii="Times New Roman"/>
          <w:b/>
          <w:bCs/>
          <w:lang w:eastAsia="zh-CN"/>
        </w:rPr>
        <w:t xml:space="preserve"> also</w:t>
      </w:r>
      <w:r w:rsidRPr="004B1850">
        <w:rPr>
          <w:rFonts w:ascii="Times New Roman"/>
          <w:b/>
          <w:bCs/>
          <w:lang w:eastAsia="zh-CN"/>
        </w:rPr>
        <w:t xml:space="preserve"> by means of multi-slot scheduling. </w:t>
      </w:r>
    </w:p>
    <w:p w14:paraId="61D318BF" w14:textId="77777777" w:rsidR="00796E8A" w:rsidRPr="004B1850" w:rsidRDefault="00796E8A" w:rsidP="00796E8A">
      <w:pPr>
        <w:pStyle w:val="ListParagraph"/>
        <w:numPr>
          <w:ilvl w:val="1"/>
          <w:numId w:val="8"/>
        </w:numPr>
        <w:jc w:val="both"/>
        <w:rPr>
          <w:rFonts w:ascii="Times New Roman"/>
          <w:b/>
          <w:bCs/>
          <w:lang w:eastAsia="zh-CN"/>
        </w:rPr>
      </w:pPr>
      <w:r w:rsidRPr="004B1850">
        <w:rPr>
          <w:rFonts w:ascii="Times New Roman"/>
          <w:b/>
          <w:bCs/>
          <w:lang w:eastAsia="zh-CN"/>
        </w:rPr>
        <w:t xml:space="preserve">One TB is mapped per each slot per codeword to reduce latency and enable peak data rate. </w:t>
      </w:r>
    </w:p>
    <w:p w14:paraId="7A693A97" w14:textId="77777777" w:rsidR="00796E8A" w:rsidRPr="004B1850" w:rsidRDefault="00796E8A" w:rsidP="00796E8A">
      <w:pPr>
        <w:jc w:val="both"/>
        <w:rPr>
          <w:rFonts w:ascii="Times New Roman"/>
          <w:b/>
          <w:bCs/>
          <w:lang w:eastAsia="zh-CN"/>
        </w:rPr>
      </w:pPr>
      <w:r w:rsidRPr="004B1850">
        <w:rPr>
          <w:rFonts w:ascii="Times New Roman"/>
          <w:b/>
          <w:bCs/>
          <w:lang w:eastAsia="zh-CN"/>
        </w:rPr>
        <w:t>Proposal-5: RAN1 should consider joint coding of CIF and BWPI.</w:t>
      </w:r>
    </w:p>
    <w:p w14:paraId="31F99F94" w14:textId="77777777" w:rsidR="00796E8A" w:rsidRPr="00796E8A" w:rsidRDefault="00796E8A" w:rsidP="00796E8A">
      <w:pPr>
        <w:rPr>
          <w:rFonts w:ascii="Times New Roman" w:hAnsi="Times New Roman" w:cs="Times New Roman"/>
        </w:rPr>
      </w:pPr>
      <w:r w:rsidRPr="00796E8A">
        <w:rPr>
          <w:rFonts w:ascii="Times New Roman" w:hAnsi="Times New Roman" w:cs="Times New Roman"/>
          <w:b/>
          <w:lang w:eastAsia="zh-CN"/>
        </w:rPr>
        <w:t xml:space="preserve">Proposal-6: For slot-based scheduling, the first cross-numerology and cross-carrier schedulable slot is the first slot starting not earlier than the slot where it was scheduled.  </w:t>
      </w:r>
    </w:p>
    <w:p w14:paraId="506BB9D2" w14:textId="77777777" w:rsidR="00796E8A" w:rsidRDefault="00796E8A" w:rsidP="00796E8A">
      <w:pPr>
        <w:pStyle w:val="BodyText"/>
        <w:overflowPunct/>
        <w:autoSpaceDE/>
        <w:autoSpaceDN/>
        <w:adjustRightInd/>
        <w:jc w:val="both"/>
        <w:textAlignment w:val="auto"/>
        <w:rPr>
          <w:b/>
          <w:sz w:val="22"/>
          <w:szCs w:val="22"/>
          <w:lang w:val="en-US" w:eastAsia="zh-CN"/>
        </w:rPr>
      </w:pPr>
      <w:r>
        <w:rPr>
          <w:b/>
          <w:sz w:val="22"/>
          <w:szCs w:val="22"/>
          <w:lang w:val="en-US" w:eastAsia="zh-CN"/>
        </w:rPr>
        <w:t>Pr</w:t>
      </w:r>
      <w:r w:rsidRPr="005E39F8">
        <w:rPr>
          <w:b/>
          <w:sz w:val="22"/>
          <w:szCs w:val="22"/>
          <w:lang w:val="en-US" w:eastAsia="zh-CN"/>
        </w:rPr>
        <w:t>oposal-</w:t>
      </w:r>
      <w:r>
        <w:rPr>
          <w:b/>
          <w:sz w:val="22"/>
          <w:szCs w:val="22"/>
          <w:lang w:val="en-US" w:eastAsia="zh-CN"/>
        </w:rPr>
        <w:t>7</w:t>
      </w:r>
      <w:r w:rsidRPr="005E39F8">
        <w:rPr>
          <w:b/>
          <w:sz w:val="22"/>
          <w:szCs w:val="22"/>
          <w:lang w:val="en-US" w:eastAsia="zh-CN"/>
        </w:rPr>
        <w:t>: For mini-slot/symbol-based schedul</w:t>
      </w:r>
      <w:r>
        <w:rPr>
          <w:b/>
          <w:sz w:val="22"/>
          <w:szCs w:val="22"/>
          <w:lang w:val="en-US" w:eastAsia="zh-CN"/>
        </w:rPr>
        <w:t xml:space="preserve">ing, the first cross-numerology and cross-carrier </w:t>
      </w:r>
      <w:r w:rsidRPr="005E39F8">
        <w:rPr>
          <w:b/>
          <w:sz w:val="22"/>
          <w:szCs w:val="22"/>
          <w:lang w:val="en-US" w:eastAsia="zh-CN"/>
        </w:rPr>
        <w:t xml:space="preserve">schedulable symbol is the first symbol starting not earlier than the CORESET where it was scheduled.  </w:t>
      </w:r>
    </w:p>
    <w:p w14:paraId="4FC48AF3" w14:textId="77777777" w:rsidR="00796E8A" w:rsidRPr="004B1850" w:rsidRDefault="00796E8A" w:rsidP="00796E8A">
      <w:pPr>
        <w:jc w:val="both"/>
        <w:rPr>
          <w:rFonts w:ascii="Times New Roman" w:hAnsi="Times New Roman" w:cs="Times New Roman"/>
          <w:b/>
        </w:rPr>
      </w:pPr>
      <w:r w:rsidRPr="004B1850">
        <w:rPr>
          <w:rFonts w:ascii="Times New Roman" w:hAnsi="Times New Roman" w:cs="Times New Roman"/>
          <w:b/>
        </w:rPr>
        <w:t xml:space="preserve">Observation-2: Latency can be reduced when DL component carriers with different UE minimum processing times use different DL association sets. </w:t>
      </w:r>
    </w:p>
    <w:p w14:paraId="42136811" w14:textId="77777777" w:rsidR="00796E8A" w:rsidRPr="004B1850" w:rsidRDefault="00796E8A" w:rsidP="00796E8A">
      <w:pPr>
        <w:jc w:val="both"/>
        <w:rPr>
          <w:rFonts w:ascii="Times New Roman" w:hAnsi="Times New Roman" w:cs="Times New Roman"/>
          <w:b/>
        </w:rPr>
      </w:pPr>
      <w:r w:rsidRPr="004B1850">
        <w:rPr>
          <w:rFonts w:ascii="Times New Roman" w:hAnsi="Times New Roman" w:cs="Times New Roman"/>
          <w:b/>
        </w:rPr>
        <w:t xml:space="preserve">Proposal-8: Determination of DL association set for HARQ feedback is flexible and based on the indicated </w:t>
      </w:r>
      <w:r w:rsidRPr="004B1850">
        <w:rPr>
          <w:rFonts w:ascii="Times New Roman" w:eastAsia="MS Mincho" w:hAnsi="Times New Roman" w:cs="Times New Roman"/>
          <w:b/>
          <w:lang w:eastAsia="ja-JP"/>
        </w:rPr>
        <w:t>timing relationship between DL data reception and corresponding acknowledgement</w:t>
      </w:r>
      <w:r w:rsidRPr="004B1850">
        <w:rPr>
          <w:rFonts w:ascii="Times New Roman" w:hAnsi="Times New Roman" w:cs="Times New Roman"/>
          <w:b/>
        </w:rPr>
        <w:t>.</w:t>
      </w:r>
    </w:p>
    <w:p w14:paraId="7D8C1B34" w14:textId="77777777" w:rsidR="00796E8A" w:rsidRPr="005342CB" w:rsidRDefault="00796E8A" w:rsidP="00796E8A">
      <w:pPr>
        <w:spacing w:after="0"/>
        <w:jc w:val="both"/>
        <w:rPr>
          <w:rFonts w:ascii="Times New Roman" w:hAnsi="Times New Roman" w:cs="Times New Roman"/>
          <w:b/>
        </w:rPr>
      </w:pPr>
      <w:r w:rsidRPr="005342CB">
        <w:rPr>
          <w:rFonts w:ascii="Times New Roman" w:hAnsi="Times New Roman" w:cs="Times New Roman"/>
          <w:b/>
        </w:rPr>
        <w:t xml:space="preserve">Proposal-9: DL association set is determined separately for DL CCs </w:t>
      </w:r>
      <w:r w:rsidRPr="005342CB">
        <w:rPr>
          <w:rFonts w:ascii="Times New Roman" w:eastAsia="MS Mincho" w:hAnsi="Times New Roman" w:cs="Times New Roman"/>
          <w:b/>
          <w:lang w:eastAsia="ja-JP"/>
        </w:rPr>
        <w:t xml:space="preserve">having different </w:t>
      </w:r>
      <w:r w:rsidRPr="005342CB">
        <w:rPr>
          <w:rFonts w:ascii="Times New Roman" w:hAnsi="Times New Roman" w:cs="Times New Roman"/>
          <w:b/>
        </w:rPr>
        <w:t xml:space="preserve">UE minimum (configured) processing time. </w:t>
      </w:r>
    </w:p>
    <w:p w14:paraId="02FCA197" w14:textId="77777777" w:rsidR="00796E8A" w:rsidRDefault="00796E8A" w:rsidP="00796E8A">
      <w:pPr>
        <w:pStyle w:val="ListParagraph"/>
        <w:numPr>
          <w:ilvl w:val="0"/>
          <w:numId w:val="22"/>
        </w:numPr>
        <w:spacing w:after="240"/>
        <w:ind w:left="714" w:hanging="357"/>
        <w:jc w:val="both"/>
        <w:rPr>
          <w:rFonts w:ascii="Times New Roman" w:hAnsi="Times New Roman" w:cs="Times New Roman"/>
          <w:b/>
        </w:rPr>
      </w:pPr>
      <w:r w:rsidRPr="005342CB">
        <w:rPr>
          <w:rFonts w:ascii="Times New Roman" w:hAnsi="Times New Roman" w:cs="Times New Roman"/>
          <w:b/>
        </w:rPr>
        <w:lastRenderedPageBreak/>
        <w:t xml:space="preserve">Same DL association set </w:t>
      </w:r>
      <w:r>
        <w:rPr>
          <w:rFonts w:ascii="Times New Roman" w:hAnsi="Times New Roman" w:cs="Times New Roman"/>
          <w:b/>
        </w:rPr>
        <w:t>may be</w:t>
      </w:r>
      <w:r w:rsidRPr="005342CB">
        <w:rPr>
          <w:rFonts w:ascii="Times New Roman" w:hAnsi="Times New Roman" w:cs="Times New Roman"/>
          <w:b/>
        </w:rPr>
        <w:t xml:space="preserve"> used for </w:t>
      </w:r>
      <w:r w:rsidRPr="005342CB">
        <w:rPr>
          <w:rFonts w:ascii="Times New Roman" w:eastAsia="MS Mincho" w:hAnsi="Times New Roman" w:cs="Times New Roman"/>
          <w:b/>
          <w:lang w:eastAsia="ja-JP"/>
        </w:rPr>
        <w:t xml:space="preserve">DL CCs with the same </w:t>
      </w:r>
      <w:r w:rsidRPr="005342CB">
        <w:rPr>
          <w:rFonts w:ascii="Times New Roman" w:hAnsi="Times New Roman" w:cs="Times New Roman"/>
          <w:b/>
        </w:rPr>
        <w:t>UE minimum (configured) processing time.</w:t>
      </w:r>
    </w:p>
    <w:p w14:paraId="30CFCF89" w14:textId="77777777" w:rsidR="00796E8A" w:rsidRPr="005342CB" w:rsidRDefault="00796E8A" w:rsidP="00796E8A">
      <w:pPr>
        <w:spacing w:after="240"/>
        <w:jc w:val="both"/>
        <w:rPr>
          <w:rFonts w:ascii="Times New Roman" w:hAnsi="Times New Roman" w:cs="Times New Roman"/>
          <w:b/>
        </w:rPr>
      </w:pPr>
      <w:r w:rsidRPr="005342CB">
        <w:rPr>
          <w:rFonts w:ascii="Times New Roman" w:hAnsi="Times New Roman" w:cs="Times New Roman"/>
          <w:b/>
        </w:rPr>
        <w:t>Proposal-10: In case of dynamic codebook determination, HARQ ACK sub-codebook is determined separately for each DL CC set sharing</w:t>
      </w:r>
      <w:r w:rsidRPr="005342CB">
        <w:rPr>
          <w:rFonts w:ascii="Times New Roman" w:eastAsia="MS Mincho" w:hAnsi="Times New Roman" w:cs="Times New Roman"/>
          <w:b/>
          <w:lang w:eastAsia="ja-JP"/>
        </w:rPr>
        <w:t xml:space="preserve"> the same </w:t>
      </w:r>
      <w:r w:rsidRPr="005342CB">
        <w:rPr>
          <w:rFonts w:ascii="Times New Roman" w:hAnsi="Times New Roman" w:cs="Times New Roman"/>
          <w:b/>
        </w:rPr>
        <w:t>UE minimum (configured) processing time.</w:t>
      </w:r>
    </w:p>
    <w:p w14:paraId="2F597EA9" w14:textId="77777777" w:rsidR="00796E8A" w:rsidRPr="005342CB" w:rsidRDefault="00796E8A" w:rsidP="00796E8A">
      <w:pPr>
        <w:spacing w:after="120"/>
        <w:jc w:val="both"/>
        <w:rPr>
          <w:rFonts w:eastAsia="MS Mincho"/>
          <w:b/>
          <w:i/>
          <w:lang w:eastAsia="ja-JP"/>
        </w:rPr>
      </w:pPr>
      <w:r w:rsidRPr="005342CB">
        <w:rPr>
          <w:rFonts w:ascii="Times New Roman" w:hAnsi="Times New Roman" w:cs="Times New Roman"/>
          <w:b/>
        </w:rPr>
        <w:t>Proposal-11: In case of dynamic codebook determination, counter DAI and total DAI mechanism are used in the HARQ ACK codebook determination.</w:t>
      </w:r>
    </w:p>
    <w:p w14:paraId="175CD33E" w14:textId="77777777" w:rsidR="00796E8A" w:rsidRPr="004B1850" w:rsidRDefault="00796E8A" w:rsidP="00796E8A">
      <w:pPr>
        <w:spacing w:after="120"/>
        <w:jc w:val="both"/>
        <w:rPr>
          <w:rFonts w:ascii="Times New Roman" w:hAnsi="Times New Roman" w:cs="Times New Roman"/>
          <w:b/>
        </w:rPr>
      </w:pPr>
      <w:r w:rsidRPr="004B1850">
        <w:rPr>
          <w:rFonts w:ascii="Times New Roman" w:hAnsi="Times New Roman" w:cs="Times New Roman"/>
          <w:b/>
        </w:rPr>
        <w:t>Proposal-12: TAG can contain component carriers with BWPs of different numerologies.</w:t>
      </w:r>
    </w:p>
    <w:p w14:paraId="5F20ADB0" w14:textId="77777777" w:rsidR="00796E8A" w:rsidRPr="005342CB" w:rsidRDefault="00796E8A" w:rsidP="00796E8A">
      <w:pPr>
        <w:jc w:val="both"/>
        <w:rPr>
          <w:rFonts w:ascii="Times New Roman" w:hAnsi="Times New Roman" w:cs="Times New Roman"/>
          <w:b/>
        </w:rPr>
      </w:pPr>
      <w:r w:rsidRPr="005342CB">
        <w:rPr>
          <w:rFonts w:ascii="Times New Roman" w:hAnsi="Times New Roman" w:cs="Times New Roman"/>
          <w:b/>
        </w:rPr>
        <w:t>Proposal-1</w:t>
      </w:r>
      <w:r>
        <w:rPr>
          <w:rFonts w:ascii="Times New Roman" w:hAnsi="Times New Roman" w:cs="Times New Roman"/>
          <w:b/>
        </w:rPr>
        <w:t>3</w:t>
      </w:r>
      <w:r w:rsidRPr="005342CB">
        <w:rPr>
          <w:rFonts w:ascii="Times New Roman" w:hAnsi="Times New Roman" w:cs="Times New Roman"/>
          <w:b/>
        </w:rPr>
        <w:t>: Adopt DL assignment/UL grant based activation/deactivation/adaptation of an active BWP.</w:t>
      </w:r>
    </w:p>
    <w:p w14:paraId="03B433AD" w14:textId="77777777" w:rsidR="00796E8A" w:rsidRPr="005342CB" w:rsidRDefault="00796E8A" w:rsidP="00796E8A">
      <w:pPr>
        <w:jc w:val="both"/>
        <w:rPr>
          <w:rFonts w:ascii="Times New Roman" w:hAnsi="Times New Roman" w:cs="Times New Roman"/>
          <w:b/>
        </w:rPr>
      </w:pPr>
      <w:r w:rsidRPr="005342CB">
        <w:rPr>
          <w:rFonts w:ascii="Times New Roman" w:hAnsi="Times New Roman" w:cs="Times New Roman"/>
          <w:b/>
        </w:rPr>
        <w:t>Proposal-1</w:t>
      </w:r>
      <w:r>
        <w:rPr>
          <w:rFonts w:ascii="Times New Roman" w:hAnsi="Times New Roman" w:cs="Times New Roman"/>
          <w:b/>
        </w:rPr>
        <w:t>4</w:t>
      </w:r>
      <w:r w:rsidRPr="005342CB">
        <w:rPr>
          <w:rFonts w:ascii="Times New Roman" w:hAnsi="Times New Roman" w:cs="Times New Roman"/>
          <w:b/>
        </w:rPr>
        <w:t>: A UE monitors a single DCI format size for DL assignments and a single DCI format size for UL grants irrespective of which BWP is active on the carrier. FFS same DCI format size for DL assignment and UL grants.</w:t>
      </w:r>
    </w:p>
    <w:p w14:paraId="332F1531" w14:textId="77777777" w:rsidR="00796E8A" w:rsidRPr="005342CB" w:rsidRDefault="00796E8A" w:rsidP="00796E8A">
      <w:pPr>
        <w:spacing w:after="120" w:line="240" w:lineRule="auto"/>
        <w:jc w:val="both"/>
        <w:rPr>
          <w:rFonts w:ascii="Times New Roman" w:eastAsia="SimSun" w:hAnsi="Times New Roman" w:cs="Times New Roman"/>
          <w:b/>
        </w:rPr>
      </w:pPr>
      <w:r w:rsidRPr="005342CB">
        <w:rPr>
          <w:rFonts w:ascii="Times New Roman" w:eastAsia="SimSun" w:hAnsi="Times New Roman" w:cs="Times New Roman"/>
          <w:b/>
        </w:rPr>
        <w:t>Proposal-1</w:t>
      </w:r>
      <w:r>
        <w:rPr>
          <w:rFonts w:ascii="Times New Roman" w:eastAsia="SimSun" w:hAnsi="Times New Roman" w:cs="Times New Roman"/>
          <w:b/>
        </w:rPr>
        <w:t>5</w:t>
      </w:r>
      <w:r w:rsidRPr="005342CB">
        <w:rPr>
          <w:rFonts w:ascii="Times New Roman" w:eastAsia="SimSun" w:hAnsi="Times New Roman" w:cs="Times New Roman"/>
          <w:b/>
        </w:rPr>
        <w:t>: If a UE is configured with more than one BWP, a DL assignment or UL grant contains an explicit DCI field (BWPI), which indicates to a UE a BWP on which the data transmission has been scheduled.</w:t>
      </w:r>
    </w:p>
    <w:p w14:paraId="304CCC1F" w14:textId="77777777" w:rsidR="00796E8A" w:rsidRPr="005342CB" w:rsidRDefault="00796E8A" w:rsidP="00796E8A">
      <w:pPr>
        <w:rPr>
          <w:b/>
        </w:rPr>
      </w:pPr>
      <w:r w:rsidRPr="005342CB">
        <w:rPr>
          <w:rFonts w:ascii="Times New Roman" w:hAnsi="Times New Roman" w:cs="Times New Roman"/>
          <w:b/>
        </w:rPr>
        <w:t>Proposal-1</w:t>
      </w:r>
      <w:r>
        <w:rPr>
          <w:rFonts w:ascii="Times New Roman" w:hAnsi="Times New Roman" w:cs="Times New Roman"/>
          <w:b/>
        </w:rPr>
        <w:t>6</w:t>
      </w:r>
      <w:r w:rsidRPr="005342CB">
        <w:rPr>
          <w:rFonts w:ascii="Times New Roman" w:hAnsi="Times New Roman" w:cs="Times New Roman"/>
          <w:b/>
        </w:rPr>
        <w:t xml:space="preserve">: For TDD, a single BWP is configured for both UL and DL. UE may adapt active BWP among configured BWPs either by UL grant or DL assignment.  </w:t>
      </w:r>
    </w:p>
    <w:p w14:paraId="0D3F9A81" w14:textId="77777777" w:rsidR="00796E8A" w:rsidRPr="00B56DF0" w:rsidRDefault="00796E8A" w:rsidP="00796E8A">
      <w:pPr>
        <w:spacing w:after="120" w:line="240" w:lineRule="auto"/>
        <w:jc w:val="both"/>
        <w:rPr>
          <w:rFonts w:ascii="Times New Roman" w:eastAsia="SimSun" w:hAnsi="Times New Roman" w:cs="Times New Roman"/>
          <w:b/>
          <w:lang w:eastAsia="zh-CN"/>
        </w:rPr>
      </w:pPr>
      <w:r w:rsidRPr="00B56DF0">
        <w:rPr>
          <w:rFonts w:ascii="Times New Roman" w:eastAsia="SimSun" w:hAnsi="Times New Roman" w:cs="Times New Roman"/>
          <w:b/>
          <w:lang w:eastAsia="zh-CN"/>
        </w:rPr>
        <w:t xml:space="preserve">Observation-3:  A DRX-inactivity-timer may order a UE to retune to default BWP. Therefore, the specification of an additional timer is unnecessary. </w:t>
      </w:r>
    </w:p>
    <w:p w14:paraId="5C170726" w14:textId="77777777" w:rsidR="00796E8A" w:rsidRPr="00B56DF0" w:rsidRDefault="00796E8A" w:rsidP="00796E8A">
      <w:pPr>
        <w:rPr>
          <w:rFonts w:ascii="Times New Roman" w:hAnsi="Times New Roman" w:cs="Times New Roman"/>
          <w:b/>
        </w:rPr>
      </w:pPr>
      <w:r w:rsidRPr="00B56DF0">
        <w:rPr>
          <w:rFonts w:ascii="Times New Roman" w:hAnsi="Times New Roman" w:cs="Times New Roman"/>
          <w:b/>
        </w:rPr>
        <w:t xml:space="preserve">Observation-4: </w:t>
      </w:r>
      <w:r w:rsidRPr="00B56DF0">
        <w:rPr>
          <w:rFonts w:ascii="Times New Roman" w:eastAsia="SimSun" w:hAnsi="Times New Roman" w:cs="Times New Roman"/>
          <w:b/>
          <w:lang w:eastAsia="zh-CN"/>
        </w:rPr>
        <w:t>Reception of a scheduling DCI should not cause automatic activation of another BWP.</w:t>
      </w:r>
    </w:p>
    <w:p w14:paraId="7A7A3729" w14:textId="578637C1" w:rsidR="00796E8A" w:rsidRPr="005342CB" w:rsidRDefault="00796E8A" w:rsidP="00796E8A">
      <w:pPr>
        <w:spacing w:after="120" w:line="240" w:lineRule="auto"/>
        <w:jc w:val="both"/>
        <w:rPr>
          <w:rFonts w:ascii="Times New Roman" w:eastAsia="SimSun"/>
          <w:b/>
          <w:lang w:eastAsia="zh-CN"/>
        </w:rPr>
      </w:pPr>
      <w:r w:rsidRPr="005342CB">
        <w:rPr>
          <w:rFonts w:ascii="Times New Roman" w:eastAsia="SimSun"/>
          <w:b/>
          <w:lang w:eastAsia="zh-CN"/>
        </w:rPr>
        <w:t>Proposal-1</w:t>
      </w:r>
      <w:r>
        <w:rPr>
          <w:rFonts w:ascii="Times New Roman" w:eastAsia="SimSun"/>
          <w:b/>
          <w:lang w:eastAsia="zh-CN"/>
        </w:rPr>
        <w:t>7</w:t>
      </w:r>
      <w:r w:rsidR="003760F6">
        <w:rPr>
          <w:rFonts w:ascii="Times New Roman" w:eastAsia="SimSun"/>
          <w:b/>
          <w:lang w:eastAsia="zh-CN"/>
        </w:rPr>
        <w:t xml:space="preserve">: </w:t>
      </w:r>
      <w:r w:rsidRPr="005342CB">
        <w:rPr>
          <w:rFonts w:ascii="Times New Roman" w:eastAsia="SimSun"/>
          <w:b/>
          <w:lang w:eastAsia="zh-CN"/>
        </w:rPr>
        <w:t>The reference point for common indexing is configured to a UE by means of dedicated/user-specific RRC signalling.</w:t>
      </w:r>
    </w:p>
    <w:p w14:paraId="3DA3117C" w14:textId="77777777" w:rsidR="00796E8A" w:rsidRPr="005342CB" w:rsidRDefault="00796E8A" w:rsidP="00796E8A">
      <w:pPr>
        <w:spacing w:after="120" w:line="240" w:lineRule="auto"/>
        <w:jc w:val="both"/>
        <w:rPr>
          <w:rFonts w:ascii="Times New Roman" w:eastAsia="SimSun"/>
          <w:b/>
          <w:lang w:eastAsia="zh-CN"/>
        </w:rPr>
      </w:pPr>
      <w:r w:rsidRPr="005342CB">
        <w:rPr>
          <w:rFonts w:ascii="Times New Roman" w:eastAsia="SimSun"/>
          <w:b/>
          <w:lang w:eastAsia="zh-CN"/>
        </w:rPr>
        <w:t>Proposal-1</w:t>
      </w:r>
      <w:r>
        <w:rPr>
          <w:rFonts w:ascii="Times New Roman" w:eastAsia="SimSun"/>
          <w:b/>
          <w:lang w:eastAsia="zh-CN"/>
        </w:rPr>
        <w:t>8</w:t>
      </w:r>
      <w:r w:rsidRPr="005342CB">
        <w:rPr>
          <w:rFonts w:ascii="Times New Roman" w:eastAsia="SimSun"/>
          <w:b/>
          <w:lang w:eastAsia="zh-CN"/>
        </w:rPr>
        <w:t>: For FDD, a separate reference point for common indexing is configured for UL. The reference point is user-specifically configured with respect to initial UL BWP defined by RACH resource (detail</w:t>
      </w:r>
      <w:r>
        <w:rPr>
          <w:rFonts w:ascii="Times New Roman" w:eastAsia="SimSun"/>
          <w:b/>
          <w:lang w:eastAsia="zh-CN"/>
        </w:rPr>
        <w:t>s</w:t>
      </w:r>
      <w:r w:rsidRPr="005342CB">
        <w:rPr>
          <w:rFonts w:ascii="Times New Roman" w:eastAsia="SimSun"/>
          <w:b/>
          <w:lang w:eastAsia="zh-CN"/>
        </w:rPr>
        <w:t xml:space="preserve"> of </w:t>
      </w:r>
      <w:r>
        <w:rPr>
          <w:rFonts w:ascii="Times New Roman" w:eastAsia="SimSun"/>
          <w:b/>
          <w:lang w:eastAsia="zh-CN"/>
        </w:rPr>
        <w:t xml:space="preserve">an </w:t>
      </w:r>
      <w:r w:rsidRPr="005342CB">
        <w:rPr>
          <w:rFonts w:ascii="Times New Roman" w:eastAsia="SimSun"/>
          <w:b/>
          <w:lang w:eastAsia="zh-CN"/>
        </w:rPr>
        <w:t xml:space="preserve">initial UL BWP are up to initial access). </w:t>
      </w:r>
    </w:p>
    <w:p w14:paraId="33E2A9F9" w14:textId="2BD03ABF" w:rsidR="00796E8A" w:rsidRDefault="00796E8A" w:rsidP="00796E8A">
      <w:pPr>
        <w:spacing w:after="120" w:line="240" w:lineRule="auto"/>
        <w:jc w:val="both"/>
        <w:rPr>
          <w:rFonts w:ascii="Times New Roman" w:eastAsia="SimSun"/>
          <w:b/>
          <w:lang w:eastAsia="zh-CN"/>
        </w:rPr>
      </w:pPr>
      <w:r w:rsidRPr="005342CB">
        <w:rPr>
          <w:rFonts w:ascii="Times New Roman" w:eastAsia="SimSun"/>
          <w:b/>
          <w:lang w:eastAsia="zh-CN"/>
        </w:rPr>
        <w:t>Proposal</w:t>
      </w:r>
      <w:r>
        <w:rPr>
          <w:rFonts w:ascii="Times New Roman" w:eastAsia="SimSun"/>
          <w:b/>
          <w:lang w:eastAsia="zh-CN"/>
        </w:rPr>
        <w:t>-19</w:t>
      </w:r>
      <w:r w:rsidRPr="005342CB">
        <w:rPr>
          <w:rFonts w:ascii="Times New Roman" w:eastAsia="SimSun"/>
          <w:b/>
          <w:lang w:eastAsia="zh-CN"/>
        </w:rPr>
        <w:t>: Revise the previous agreement accordingly:</w:t>
      </w:r>
    </w:p>
    <w:p w14:paraId="0760ADC6" w14:textId="77777777" w:rsidR="00796E8A" w:rsidRPr="00687CBC" w:rsidRDefault="00796E8A" w:rsidP="00796E8A">
      <w:pPr>
        <w:numPr>
          <w:ilvl w:val="0"/>
          <w:numId w:val="23"/>
        </w:numPr>
        <w:tabs>
          <w:tab w:val="left" w:pos="720"/>
          <w:tab w:val="left" w:pos="1440"/>
        </w:tabs>
        <w:spacing w:after="0" w:line="240" w:lineRule="auto"/>
        <w:ind w:left="851"/>
        <w:contextualSpacing/>
        <w:textAlignment w:val="baseline"/>
        <w:rPr>
          <w:rFonts w:ascii="Times New Roman" w:eastAsia="Times New Roman" w:hAnsi="Times New Roman" w:cs="Times New Roman"/>
          <w:i/>
          <w:color w:val="0070C0"/>
          <w:sz w:val="20"/>
          <w:szCs w:val="20"/>
          <w:lang w:val="en-GB" w:eastAsia="fi-FI"/>
        </w:rPr>
      </w:pPr>
      <w:r w:rsidRPr="005342CB">
        <w:rPr>
          <w:rFonts w:ascii="Times" w:eastAsia="MS Mincho" w:hAnsi="Times"/>
          <w:i/>
          <w:color w:val="0070C0"/>
          <w:kern w:val="24"/>
          <w:sz w:val="20"/>
          <w:szCs w:val="20"/>
          <w:lang w:eastAsia="fi-FI"/>
        </w:rPr>
        <w:t xml:space="preserve">When a UE performs measurement or transmit SRS outside of its active BWP, it is considered as a measurement </w:t>
      </w:r>
      <w:r w:rsidRPr="005342CB">
        <w:rPr>
          <w:rFonts w:ascii="Times" w:eastAsia="MS Mincho" w:hAnsi="Times"/>
          <w:i/>
          <w:color w:val="0070C0"/>
          <w:kern w:val="24"/>
          <w:sz w:val="20"/>
          <w:szCs w:val="20"/>
          <w:highlight w:val="yellow"/>
          <w:lang w:eastAsia="fi-FI"/>
        </w:rPr>
        <w:t xml:space="preserve">resp. </w:t>
      </w:r>
      <w:r w:rsidRPr="00687CBC">
        <w:rPr>
          <w:rFonts w:ascii="Times" w:eastAsia="MS Mincho" w:hAnsi="Times"/>
          <w:i/>
          <w:color w:val="0070C0"/>
          <w:kern w:val="24"/>
          <w:sz w:val="20"/>
          <w:szCs w:val="20"/>
          <w:highlight w:val="yellow"/>
          <w:lang w:eastAsia="fi-FI"/>
        </w:rPr>
        <w:t>SRS switching gap</w:t>
      </w:r>
    </w:p>
    <w:p w14:paraId="22F737A9" w14:textId="77777777" w:rsidR="00796E8A" w:rsidRPr="004B1850" w:rsidRDefault="00796E8A" w:rsidP="00796E8A">
      <w:pPr>
        <w:numPr>
          <w:ilvl w:val="2"/>
          <w:numId w:val="23"/>
        </w:numPr>
        <w:tabs>
          <w:tab w:val="left" w:pos="1440"/>
        </w:tabs>
        <w:spacing w:after="0" w:line="240" w:lineRule="auto"/>
        <w:contextualSpacing/>
        <w:textAlignment w:val="baseline"/>
        <w:rPr>
          <w:rFonts w:ascii="Times New Roman" w:hAnsi="Times New Roman"/>
          <w:i/>
          <w:color w:val="0070C0"/>
          <w:sz w:val="20"/>
          <w:szCs w:val="20"/>
          <w:lang w:eastAsia="fi-FI"/>
        </w:rPr>
      </w:pPr>
      <w:r w:rsidRPr="004B1850">
        <w:rPr>
          <w:rFonts w:ascii="Times" w:eastAsia="MS Mincho" w:hAnsi="Times"/>
          <w:i/>
          <w:color w:val="0070C0"/>
          <w:kern w:val="24"/>
          <w:sz w:val="20"/>
          <w:szCs w:val="20"/>
          <w:lang w:eastAsia="fi-FI"/>
        </w:rPr>
        <w:t>FFS: details of measurement gap configuration</w:t>
      </w:r>
    </w:p>
    <w:p w14:paraId="011F00C0" w14:textId="77777777" w:rsidR="00796E8A" w:rsidRPr="005342CB" w:rsidRDefault="00796E8A" w:rsidP="00796E8A">
      <w:pPr>
        <w:numPr>
          <w:ilvl w:val="2"/>
          <w:numId w:val="23"/>
        </w:numPr>
        <w:tabs>
          <w:tab w:val="left" w:pos="1440"/>
        </w:tabs>
        <w:spacing w:after="0" w:line="240" w:lineRule="auto"/>
        <w:contextualSpacing/>
        <w:textAlignment w:val="baseline"/>
        <w:rPr>
          <w:rFonts w:ascii="Times New Roman" w:hAnsi="Times New Roman"/>
          <w:i/>
          <w:color w:val="0070C0"/>
          <w:sz w:val="20"/>
          <w:szCs w:val="20"/>
          <w:highlight w:val="yellow"/>
          <w:lang w:eastAsia="fi-FI"/>
        </w:rPr>
      </w:pPr>
      <w:r w:rsidRPr="005342CB">
        <w:rPr>
          <w:rFonts w:ascii="Times" w:eastAsia="MS Mincho" w:hAnsi="Times"/>
          <w:i/>
          <w:color w:val="0070C0"/>
          <w:kern w:val="24"/>
          <w:sz w:val="20"/>
          <w:szCs w:val="20"/>
          <w:highlight w:val="yellow"/>
          <w:lang w:eastAsia="fi-FI"/>
        </w:rPr>
        <w:t>FFS: detail of SRS switching gap configuration</w:t>
      </w:r>
    </w:p>
    <w:p w14:paraId="1D6C7BA0" w14:textId="77777777" w:rsidR="00796E8A" w:rsidRPr="005342CB" w:rsidRDefault="00796E8A" w:rsidP="00796E8A">
      <w:pPr>
        <w:rPr>
          <w:rFonts w:ascii="Times" w:eastAsia="MS Mincho" w:hAnsi="Times"/>
          <w:i/>
          <w:color w:val="0070C0"/>
          <w:kern w:val="24"/>
          <w:sz w:val="20"/>
          <w:szCs w:val="20"/>
          <w:lang w:eastAsia="fi-FI"/>
        </w:rPr>
      </w:pPr>
      <w:r w:rsidRPr="005342CB">
        <w:rPr>
          <w:rFonts w:ascii="Times" w:eastAsia="MS Mincho" w:hAnsi="Times"/>
          <w:i/>
          <w:color w:val="0070C0"/>
          <w:kern w:val="24"/>
          <w:sz w:val="20"/>
          <w:szCs w:val="20"/>
          <w:lang w:eastAsia="fi-FI"/>
        </w:rPr>
        <w:t>During the measurement gap, UE is not expected to monitor CORESET.</w:t>
      </w:r>
    </w:p>
    <w:p w14:paraId="6E6A8441" w14:textId="77777777" w:rsidR="00796E8A" w:rsidRPr="005342CB" w:rsidRDefault="00796E8A" w:rsidP="00796E8A">
      <w:pPr>
        <w:spacing w:after="120" w:line="240" w:lineRule="auto"/>
        <w:jc w:val="both"/>
        <w:rPr>
          <w:rFonts w:ascii="Times New Roman" w:eastAsia="SimSun"/>
          <w:b/>
          <w:lang w:eastAsia="zh-CN"/>
        </w:rPr>
      </w:pPr>
    </w:p>
    <w:p w14:paraId="199F8CD3" w14:textId="77777777" w:rsidR="00796E8A" w:rsidRPr="005342CB" w:rsidRDefault="00796E8A" w:rsidP="00796E8A">
      <w:pPr>
        <w:spacing w:after="0" w:line="240" w:lineRule="auto"/>
        <w:jc w:val="both"/>
        <w:rPr>
          <w:rFonts w:ascii="Times New Roman" w:eastAsia="SimSun"/>
          <w:b/>
          <w:lang w:eastAsia="zh-CN"/>
        </w:rPr>
      </w:pPr>
      <w:r w:rsidRPr="005342CB">
        <w:rPr>
          <w:rFonts w:ascii="Times New Roman" w:eastAsia="SimSun"/>
          <w:b/>
          <w:lang w:eastAsia="zh-CN"/>
        </w:rPr>
        <w:t>Proposal-2</w:t>
      </w:r>
      <w:r>
        <w:rPr>
          <w:rFonts w:ascii="Times New Roman" w:eastAsia="SimSun"/>
          <w:b/>
          <w:lang w:eastAsia="zh-CN"/>
        </w:rPr>
        <w:t>0</w:t>
      </w:r>
      <w:r w:rsidRPr="005342CB">
        <w:rPr>
          <w:rFonts w:ascii="Times New Roman" w:eastAsia="SimSun"/>
          <w:b/>
          <w:lang w:eastAsia="zh-CN"/>
        </w:rPr>
        <w:t xml:space="preserve">: Support at least </w:t>
      </w:r>
      <w:r>
        <w:rPr>
          <w:rFonts w:ascii="Times New Roman" w:eastAsia="SimSun"/>
          <w:b/>
          <w:lang w:eastAsia="zh-CN"/>
        </w:rPr>
        <w:t>aperiodic/</w:t>
      </w:r>
      <w:r w:rsidRPr="005342CB">
        <w:rPr>
          <w:rFonts w:ascii="Times New Roman" w:eastAsia="SimSun"/>
          <w:b/>
          <w:lang w:eastAsia="zh-CN"/>
        </w:rPr>
        <w:t>trigger</w:t>
      </w:r>
      <w:r>
        <w:rPr>
          <w:rFonts w:ascii="Times New Roman" w:eastAsia="SimSun"/>
          <w:b/>
          <w:lang w:eastAsia="zh-CN"/>
        </w:rPr>
        <w:t>ed</w:t>
      </w:r>
      <w:r w:rsidRPr="005342CB">
        <w:rPr>
          <w:rFonts w:ascii="Times New Roman" w:eastAsia="SimSun"/>
          <w:b/>
          <w:lang w:eastAsia="zh-CN"/>
        </w:rPr>
        <w:t xml:space="preserve"> RRM measurements and SRS transmissions outside of active BWP</w:t>
      </w:r>
    </w:p>
    <w:p w14:paraId="18EA4C8D" w14:textId="77777777" w:rsidR="00796E8A" w:rsidRPr="00F16236" w:rsidRDefault="00796E8A" w:rsidP="00796E8A">
      <w:pPr>
        <w:pStyle w:val="ListParagraph"/>
        <w:numPr>
          <w:ilvl w:val="0"/>
          <w:numId w:val="24"/>
        </w:numPr>
        <w:spacing w:after="120" w:line="240" w:lineRule="auto"/>
        <w:jc w:val="both"/>
        <w:rPr>
          <w:rFonts w:ascii="Times New Roman" w:eastAsia="SimSun"/>
          <w:b/>
          <w:lang w:eastAsia="zh-CN"/>
        </w:rPr>
      </w:pPr>
      <w:r>
        <w:rPr>
          <w:rFonts w:ascii="Times New Roman" w:eastAsia="SimSun"/>
          <w:b/>
          <w:lang w:eastAsia="zh-CN"/>
        </w:rPr>
        <w:t xml:space="preserve">FFS on periodic. </w:t>
      </w:r>
    </w:p>
    <w:p w14:paraId="1759794C" w14:textId="77777777" w:rsidR="008578E9" w:rsidRPr="00C0471E" w:rsidRDefault="008578E9" w:rsidP="001600F0">
      <w:pPr>
        <w:pStyle w:val="B1"/>
        <w:ind w:left="0" w:firstLine="0"/>
        <w:rPr>
          <w:rFonts w:ascii="Times New Roman"/>
          <w:sz w:val="20"/>
          <w:szCs w:val="20"/>
        </w:rPr>
      </w:pPr>
    </w:p>
    <w:p w14:paraId="5E8F0CD5" w14:textId="77777777" w:rsidR="0032713B" w:rsidRPr="0039030A" w:rsidRDefault="0032713B" w:rsidP="00DD7E89">
      <w:pPr>
        <w:keepNext/>
        <w:keepLines/>
        <w:pBdr>
          <w:top w:val="single" w:sz="12" w:space="0" w:color="auto"/>
        </w:pBdr>
        <w:spacing w:before="240"/>
        <w:ind w:left="1134" w:hanging="1134"/>
        <w:outlineLvl w:val="0"/>
        <w:rPr>
          <w:rFonts w:ascii="Arial" w:hAnsi="Arial"/>
          <w:sz w:val="36"/>
        </w:rPr>
      </w:pPr>
      <w:r w:rsidRPr="0039030A">
        <w:rPr>
          <w:rFonts w:ascii="Arial" w:hAnsi="Arial"/>
          <w:sz w:val="36"/>
        </w:rPr>
        <w:t>References</w:t>
      </w:r>
    </w:p>
    <w:p w14:paraId="0E217474" w14:textId="51F85D9E" w:rsidR="001600F0" w:rsidRDefault="001600F0" w:rsidP="001600F0">
      <w:pPr>
        <w:pStyle w:val="ListParagraph"/>
        <w:numPr>
          <w:ilvl w:val="0"/>
          <w:numId w:val="1"/>
        </w:numPr>
        <w:rPr>
          <w:rFonts w:ascii="Times New Roman"/>
          <w:sz w:val="20"/>
        </w:rPr>
      </w:pPr>
      <w:bookmarkStart w:id="14" w:name="_Ref492207613"/>
      <w:bookmarkStart w:id="15" w:name="_Ref449465801"/>
      <w:r w:rsidRPr="005342CB">
        <w:rPr>
          <w:rFonts w:ascii="Times New Roman"/>
          <w:sz w:val="20"/>
        </w:rPr>
        <w:t xml:space="preserve">R1-1711795, </w:t>
      </w:r>
      <w:r w:rsidRPr="005342CB">
        <w:rPr>
          <w:rFonts w:ascii="Times New Roman"/>
          <w:sz w:val="20"/>
        </w:rPr>
        <w:t>“</w:t>
      </w:r>
      <w:r w:rsidRPr="005342CB">
        <w:rPr>
          <w:rFonts w:ascii="Times New Roman"/>
          <w:sz w:val="20"/>
        </w:rPr>
        <w:t xml:space="preserve">On bandwidth parts and </w:t>
      </w:r>
      <w:r w:rsidRPr="005342CB">
        <w:rPr>
          <w:rFonts w:ascii="Times New Roman"/>
          <w:sz w:val="20"/>
        </w:rPr>
        <w:t>“</w:t>
      </w:r>
      <w:r w:rsidRPr="005342CB">
        <w:rPr>
          <w:rFonts w:ascii="Times New Roman"/>
          <w:sz w:val="20"/>
        </w:rPr>
        <w:t>RF</w:t>
      </w:r>
      <w:r w:rsidRPr="005342CB">
        <w:rPr>
          <w:rFonts w:ascii="Times New Roman"/>
          <w:sz w:val="20"/>
        </w:rPr>
        <w:t>”</w:t>
      </w:r>
      <w:r w:rsidRPr="005342CB">
        <w:rPr>
          <w:rFonts w:ascii="Times New Roman"/>
          <w:sz w:val="20"/>
        </w:rPr>
        <w:t xml:space="preserve"> requirements</w:t>
      </w:r>
      <w:r w:rsidRPr="005342CB">
        <w:rPr>
          <w:rFonts w:ascii="Times New Roman"/>
          <w:sz w:val="20"/>
        </w:rPr>
        <w:t>”</w:t>
      </w:r>
      <w:r w:rsidRPr="005342CB">
        <w:rPr>
          <w:rFonts w:ascii="Times New Roman"/>
          <w:sz w:val="20"/>
        </w:rPr>
        <w:t>, Ericsson, RAN1 NRAH#2, Qingdao, China, 2017</w:t>
      </w:r>
      <w:bookmarkEnd w:id="14"/>
    </w:p>
    <w:p w14:paraId="402C673E" w14:textId="646275ED" w:rsidR="00053430" w:rsidRDefault="0092052D" w:rsidP="001600F0">
      <w:pPr>
        <w:pStyle w:val="ListParagraph"/>
        <w:numPr>
          <w:ilvl w:val="0"/>
          <w:numId w:val="1"/>
        </w:numPr>
        <w:rPr>
          <w:rFonts w:ascii="Times New Roman"/>
          <w:sz w:val="20"/>
        </w:rPr>
      </w:pPr>
      <w:bookmarkStart w:id="16" w:name="_Ref492889311"/>
      <w:r>
        <w:rPr>
          <w:rFonts w:ascii="Times New Roman"/>
          <w:sz w:val="20"/>
        </w:rPr>
        <w:t xml:space="preserve">R1-1715546, </w:t>
      </w:r>
      <w:r>
        <w:rPr>
          <w:rFonts w:ascii="Times New Roman"/>
          <w:sz w:val="20"/>
        </w:rPr>
        <w:t>“</w:t>
      </w:r>
      <w:r>
        <w:rPr>
          <w:rFonts w:ascii="Times New Roman"/>
          <w:sz w:val="20"/>
        </w:rPr>
        <w:t>On the open aspects of HARQ management</w:t>
      </w:r>
      <w:r>
        <w:rPr>
          <w:rFonts w:ascii="Times New Roman"/>
          <w:sz w:val="20"/>
        </w:rPr>
        <w:t>”</w:t>
      </w:r>
      <w:r>
        <w:rPr>
          <w:rFonts w:ascii="Times New Roman"/>
          <w:sz w:val="20"/>
        </w:rPr>
        <w:t>, Nokia, Nokia Shanghai Bell</w:t>
      </w:r>
      <w:bookmarkEnd w:id="16"/>
    </w:p>
    <w:p w14:paraId="3052E322" w14:textId="1830168B" w:rsidR="0092052D" w:rsidRDefault="0092052D" w:rsidP="0092052D">
      <w:pPr>
        <w:pStyle w:val="ListParagraph"/>
        <w:numPr>
          <w:ilvl w:val="0"/>
          <w:numId w:val="1"/>
        </w:numPr>
        <w:rPr>
          <w:rFonts w:ascii="Times New Roman"/>
          <w:sz w:val="20"/>
        </w:rPr>
      </w:pPr>
      <w:bookmarkStart w:id="17" w:name="_Ref492889337"/>
      <w:r>
        <w:rPr>
          <w:rFonts w:ascii="Times New Roman"/>
          <w:sz w:val="20"/>
        </w:rPr>
        <w:t xml:space="preserve">R1-1715547, </w:t>
      </w:r>
      <w:r>
        <w:rPr>
          <w:rFonts w:ascii="Times New Roman"/>
          <w:sz w:val="20"/>
        </w:rPr>
        <w:t>“</w:t>
      </w:r>
      <w:r>
        <w:rPr>
          <w:rFonts w:ascii="Times New Roman"/>
          <w:sz w:val="20"/>
        </w:rPr>
        <w:t>On remaining aspects of CBG based transmissions</w:t>
      </w:r>
      <w:r>
        <w:rPr>
          <w:rFonts w:ascii="Times New Roman"/>
          <w:sz w:val="20"/>
        </w:rPr>
        <w:t>”</w:t>
      </w:r>
      <w:r>
        <w:rPr>
          <w:rFonts w:ascii="Times New Roman"/>
          <w:sz w:val="20"/>
        </w:rPr>
        <w:t>, Nokia, Nokia Shanghai Bell</w:t>
      </w:r>
      <w:bookmarkEnd w:id="17"/>
    </w:p>
    <w:p w14:paraId="41027080" w14:textId="3534247B" w:rsidR="00013369" w:rsidRPr="006A4B0C" w:rsidRDefault="00DD11D0" w:rsidP="00DD2511">
      <w:pPr>
        <w:pStyle w:val="ListParagraph"/>
        <w:numPr>
          <w:ilvl w:val="0"/>
          <w:numId w:val="1"/>
        </w:numPr>
        <w:spacing w:after="120"/>
        <w:jc w:val="both"/>
        <w:rPr>
          <w:rFonts w:ascii="Times New Roman"/>
          <w:sz w:val="20"/>
        </w:rPr>
      </w:pPr>
      <w:bookmarkStart w:id="18" w:name="_Ref492915137"/>
      <w:r w:rsidRPr="006A4B0C">
        <w:rPr>
          <w:rFonts w:ascii="Times New Roman"/>
          <w:sz w:val="20"/>
        </w:rPr>
        <w:t xml:space="preserve">R1-1716525, </w:t>
      </w:r>
      <w:r w:rsidRPr="006A4B0C">
        <w:rPr>
          <w:rFonts w:ascii="Times New Roman"/>
          <w:sz w:val="20"/>
        </w:rPr>
        <w:t>“</w:t>
      </w:r>
      <w:r w:rsidRPr="006A4B0C">
        <w:rPr>
          <w:rFonts w:ascii="Times New Roman"/>
          <w:sz w:val="20"/>
        </w:rPr>
        <w:t>On Remaining System Information Delivery</w:t>
      </w:r>
      <w:r w:rsidRPr="006A4B0C">
        <w:rPr>
          <w:rFonts w:ascii="Times New Roman"/>
          <w:sz w:val="20"/>
        </w:rPr>
        <w:t>”</w:t>
      </w:r>
      <w:r w:rsidRPr="006A4B0C">
        <w:rPr>
          <w:rFonts w:ascii="Times New Roman"/>
          <w:sz w:val="20"/>
        </w:rPr>
        <w:t>, Nokia, Nokia Shanghai Bell</w:t>
      </w:r>
      <w:bookmarkStart w:id="19" w:name="_GoBack"/>
      <w:bookmarkEnd w:id="15"/>
      <w:bookmarkEnd w:id="18"/>
      <w:bookmarkEnd w:id="19"/>
    </w:p>
    <w:p w14:paraId="15A2AA2E" w14:textId="77777777" w:rsidR="00DB4547" w:rsidRPr="00C23119" w:rsidRDefault="00DB4547" w:rsidP="00FC22E8">
      <w:pPr>
        <w:pStyle w:val="references"/>
        <w:numPr>
          <w:ilvl w:val="0"/>
          <w:numId w:val="0"/>
        </w:numPr>
        <w:autoSpaceDE w:val="0"/>
        <w:autoSpaceDN w:val="0"/>
        <w:adjustRightInd w:val="0"/>
        <w:ind w:left="360" w:hanging="360"/>
        <w:rPr>
          <w:noProof w:val="0"/>
        </w:rPr>
      </w:pPr>
    </w:p>
    <w:sectPr w:rsidR="00DB4547" w:rsidRPr="00C231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8BD5D" w14:textId="77777777" w:rsidR="0040010F" w:rsidRDefault="0040010F">
      <w:r>
        <w:separator/>
      </w:r>
    </w:p>
  </w:endnote>
  <w:endnote w:type="continuationSeparator" w:id="0">
    <w:p w14:paraId="0579C0AA" w14:textId="77777777" w:rsidR="0040010F" w:rsidRDefault="00400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C9F91" w14:textId="77777777" w:rsidR="0040010F" w:rsidRDefault="0040010F">
      <w:r>
        <w:separator/>
      </w:r>
    </w:p>
  </w:footnote>
  <w:footnote w:type="continuationSeparator" w:id="0">
    <w:p w14:paraId="5C98D569" w14:textId="77777777" w:rsidR="0040010F" w:rsidRDefault="00400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79D"/>
    <w:multiLevelType w:val="hybridMultilevel"/>
    <w:tmpl w:val="8C226808"/>
    <w:lvl w:ilvl="0" w:tplc="8946B85E">
      <w:start w:val="1"/>
      <w:numFmt w:val="bullet"/>
      <w:lvlText w:val="•"/>
      <w:lvlJc w:val="left"/>
      <w:pPr>
        <w:tabs>
          <w:tab w:val="num" w:pos="644"/>
        </w:tabs>
        <w:ind w:left="644" w:hanging="360"/>
      </w:pPr>
      <w:rPr>
        <w:rFonts w:ascii="Arial" w:hAnsi="Arial" w:cs="Times New Roman" w:hint="default"/>
      </w:rPr>
    </w:lvl>
    <w:lvl w:ilvl="1" w:tplc="717AD980">
      <w:numFmt w:val="bullet"/>
      <w:lvlText w:val="-"/>
      <w:lvlJc w:val="left"/>
      <w:pPr>
        <w:tabs>
          <w:tab w:val="num" w:pos="1364"/>
        </w:tabs>
        <w:ind w:left="1364" w:hanging="360"/>
      </w:pPr>
      <w:rPr>
        <w:rFonts w:ascii="Lucida Grande" w:hAnsi="Lucida Grande" w:cs="Times New Roman" w:hint="default"/>
      </w:rPr>
    </w:lvl>
    <w:lvl w:ilvl="2" w:tplc="9ADA12D0">
      <w:start w:val="1"/>
      <w:numFmt w:val="bullet"/>
      <w:lvlText w:val="•"/>
      <w:lvlJc w:val="left"/>
      <w:pPr>
        <w:tabs>
          <w:tab w:val="num" w:pos="2084"/>
        </w:tabs>
        <w:ind w:left="2084" w:hanging="360"/>
      </w:pPr>
      <w:rPr>
        <w:rFonts w:ascii="Arial" w:hAnsi="Arial" w:cs="Times New Roman" w:hint="default"/>
      </w:rPr>
    </w:lvl>
    <w:lvl w:ilvl="3" w:tplc="1B389F3A">
      <w:start w:val="1"/>
      <w:numFmt w:val="bullet"/>
      <w:lvlText w:val="•"/>
      <w:lvlJc w:val="left"/>
      <w:pPr>
        <w:tabs>
          <w:tab w:val="num" w:pos="2804"/>
        </w:tabs>
        <w:ind w:left="2804" w:hanging="360"/>
      </w:pPr>
      <w:rPr>
        <w:rFonts w:ascii="Arial" w:hAnsi="Arial" w:cs="Times New Roman" w:hint="default"/>
      </w:rPr>
    </w:lvl>
    <w:lvl w:ilvl="4" w:tplc="1526BEF4">
      <w:start w:val="1"/>
      <w:numFmt w:val="bullet"/>
      <w:lvlText w:val="•"/>
      <w:lvlJc w:val="left"/>
      <w:pPr>
        <w:tabs>
          <w:tab w:val="num" w:pos="3524"/>
        </w:tabs>
        <w:ind w:left="3524" w:hanging="360"/>
      </w:pPr>
      <w:rPr>
        <w:rFonts w:ascii="Arial" w:hAnsi="Arial" w:cs="Times New Roman" w:hint="default"/>
      </w:rPr>
    </w:lvl>
    <w:lvl w:ilvl="5" w:tplc="2A30FC02">
      <w:start w:val="1"/>
      <w:numFmt w:val="bullet"/>
      <w:lvlText w:val="•"/>
      <w:lvlJc w:val="left"/>
      <w:pPr>
        <w:tabs>
          <w:tab w:val="num" w:pos="4244"/>
        </w:tabs>
        <w:ind w:left="4244" w:hanging="360"/>
      </w:pPr>
      <w:rPr>
        <w:rFonts w:ascii="Arial" w:hAnsi="Arial" w:cs="Times New Roman" w:hint="default"/>
      </w:rPr>
    </w:lvl>
    <w:lvl w:ilvl="6" w:tplc="95485962">
      <w:start w:val="1"/>
      <w:numFmt w:val="bullet"/>
      <w:lvlText w:val="•"/>
      <w:lvlJc w:val="left"/>
      <w:pPr>
        <w:tabs>
          <w:tab w:val="num" w:pos="4964"/>
        </w:tabs>
        <w:ind w:left="4964" w:hanging="360"/>
      </w:pPr>
      <w:rPr>
        <w:rFonts w:ascii="Arial" w:hAnsi="Arial" w:cs="Times New Roman" w:hint="default"/>
      </w:rPr>
    </w:lvl>
    <w:lvl w:ilvl="7" w:tplc="A1F25624">
      <w:start w:val="1"/>
      <w:numFmt w:val="bullet"/>
      <w:lvlText w:val="•"/>
      <w:lvlJc w:val="left"/>
      <w:pPr>
        <w:tabs>
          <w:tab w:val="num" w:pos="5684"/>
        </w:tabs>
        <w:ind w:left="5684" w:hanging="360"/>
      </w:pPr>
      <w:rPr>
        <w:rFonts w:ascii="Arial" w:hAnsi="Arial" w:cs="Times New Roman" w:hint="default"/>
      </w:rPr>
    </w:lvl>
    <w:lvl w:ilvl="8" w:tplc="04E62DF6">
      <w:start w:val="1"/>
      <w:numFmt w:val="bullet"/>
      <w:lvlText w:val="•"/>
      <w:lvlJc w:val="left"/>
      <w:pPr>
        <w:tabs>
          <w:tab w:val="num" w:pos="6404"/>
        </w:tabs>
        <w:ind w:left="6404" w:hanging="360"/>
      </w:pPr>
      <w:rPr>
        <w:rFonts w:ascii="Arial" w:hAnsi="Arial" w:cs="Times New Roman" w:hint="default"/>
      </w:rPr>
    </w:lvl>
  </w:abstractNum>
  <w:abstractNum w:abstractNumId="1" w15:restartNumberingAfterBreak="0">
    <w:nsid w:val="041E236F"/>
    <w:multiLevelType w:val="hybridMultilevel"/>
    <w:tmpl w:val="498259C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AC375B"/>
    <w:multiLevelType w:val="hybridMultilevel"/>
    <w:tmpl w:val="D34C92D0"/>
    <w:lvl w:ilvl="0" w:tplc="ADB2F6A6">
      <w:start w:val="1"/>
      <w:numFmt w:val="bullet"/>
      <w:lvlText w:val="•"/>
      <w:lvlJc w:val="left"/>
      <w:pPr>
        <w:tabs>
          <w:tab w:val="num" w:pos="720"/>
        </w:tabs>
        <w:ind w:left="720" w:hanging="360"/>
      </w:pPr>
      <w:rPr>
        <w:rFonts w:ascii="Arial" w:hAnsi="Arial" w:hint="default"/>
      </w:rPr>
    </w:lvl>
    <w:lvl w:ilvl="1" w:tplc="E1C847DE">
      <w:numFmt w:val="bullet"/>
      <w:lvlText w:val="–"/>
      <w:lvlJc w:val="left"/>
      <w:pPr>
        <w:tabs>
          <w:tab w:val="num" w:pos="1440"/>
        </w:tabs>
        <w:ind w:left="1440" w:hanging="360"/>
      </w:pPr>
      <w:rPr>
        <w:rFonts w:ascii="Arial" w:hAnsi="Arial" w:hint="default"/>
      </w:rPr>
    </w:lvl>
    <w:lvl w:ilvl="2" w:tplc="744A9D96">
      <w:start w:val="1"/>
      <w:numFmt w:val="bullet"/>
      <w:lvlText w:val="•"/>
      <w:lvlJc w:val="left"/>
      <w:pPr>
        <w:tabs>
          <w:tab w:val="num" w:pos="2160"/>
        </w:tabs>
        <w:ind w:left="2160" w:hanging="360"/>
      </w:pPr>
      <w:rPr>
        <w:rFonts w:ascii="Arial" w:hAnsi="Arial" w:hint="default"/>
      </w:rPr>
    </w:lvl>
    <w:lvl w:ilvl="3" w:tplc="FB36CD9C">
      <w:start w:val="1"/>
      <w:numFmt w:val="bullet"/>
      <w:lvlText w:val="•"/>
      <w:lvlJc w:val="left"/>
      <w:pPr>
        <w:tabs>
          <w:tab w:val="num" w:pos="2880"/>
        </w:tabs>
        <w:ind w:left="2880" w:hanging="360"/>
      </w:pPr>
      <w:rPr>
        <w:rFonts w:ascii="Arial" w:hAnsi="Arial" w:hint="default"/>
      </w:rPr>
    </w:lvl>
    <w:lvl w:ilvl="4" w:tplc="55783654" w:tentative="1">
      <w:start w:val="1"/>
      <w:numFmt w:val="bullet"/>
      <w:lvlText w:val="•"/>
      <w:lvlJc w:val="left"/>
      <w:pPr>
        <w:tabs>
          <w:tab w:val="num" w:pos="3600"/>
        </w:tabs>
        <w:ind w:left="3600" w:hanging="360"/>
      </w:pPr>
      <w:rPr>
        <w:rFonts w:ascii="Arial" w:hAnsi="Arial" w:hint="default"/>
      </w:rPr>
    </w:lvl>
    <w:lvl w:ilvl="5" w:tplc="A0DA616E" w:tentative="1">
      <w:start w:val="1"/>
      <w:numFmt w:val="bullet"/>
      <w:lvlText w:val="•"/>
      <w:lvlJc w:val="left"/>
      <w:pPr>
        <w:tabs>
          <w:tab w:val="num" w:pos="4320"/>
        </w:tabs>
        <w:ind w:left="4320" w:hanging="360"/>
      </w:pPr>
      <w:rPr>
        <w:rFonts w:ascii="Arial" w:hAnsi="Arial" w:hint="default"/>
      </w:rPr>
    </w:lvl>
    <w:lvl w:ilvl="6" w:tplc="2F901064" w:tentative="1">
      <w:start w:val="1"/>
      <w:numFmt w:val="bullet"/>
      <w:lvlText w:val="•"/>
      <w:lvlJc w:val="left"/>
      <w:pPr>
        <w:tabs>
          <w:tab w:val="num" w:pos="5040"/>
        </w:tabs>
        <w:ind w:left="5040" w:hanging="360"/>
      </w:pPr>
      <w:rPr>
        <w:rFonts w:ascii="Arial" w:hAnsi="Arial" w:hint="default"/>
      </w:rPr>
    </w:lvl>
    <w:lvl w:ilvl="7" w:tplc="3432E4E4" w:tentative="1">
      <w:start w:val="1"/>
      <w:numFmt w:val="bullet"/>
      <w:lvlText w:val="•"/>
      <w:lvlJc w:val="left"/>
      <w:pPr>
        <w:tabs>
          <w:tab w:val="num" w:pos="5760"/>
        </w:tabs>
        <w:ind w:left="5760" w:hanging="360"/>
      </w:pPr>
      <w:rPr>
        <w:rFonts w:ascii="Arial" w:hAnsi="Arial" w:hint="default"/>
      </w:rPr>
    </w:lvl>
    <w:lvl w:ilvl="8" w:tplc="8566FF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3237EF"/>
    <w:multiLevelType w:val="hybridMultilevel"/>
    <w:tmpl w:val="148234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8EA3916"/>
    <w:multiLevelType w:val="hybridMultilevel"/>
    <w:tmpl w:val="9CDE57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978623D"/>
    <w:multiLevelType w:val="multilevel"/>
    <w:tmpl w:val="BC28C966"/>
    <w:lvl w:ilvl="0">
      <w:start w:val="2"/>
      <w:numFmt w:val="decimal"/>
      <w:lvlText w:val="%1"/>
      <w:lvlJc w:val="left"/>
      <w:pPr>
        <w:ind w:left="405" w:hanging="405"/>
      </w:pPr>
      <w:rPr>
        <w:rFonts w:hint="default"/>
      </w:rPr>
    </w:lvl>
    <w:lvl w:ilvl="1">
      <w:start w:val="1"/>
      <w:numFmt w:val="decimal"/>
      <w:pStyle w:val="Heading3"/>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796AD5"/>
    <w:multiLevelType w:val="hybridMultilevel"/>
    <w:tmpl w:val="901A9EF4"/>
    <w:lvl w:ilvl="0" w:tplc="432A0184">
      <w:numFmt w:val="bullet"/>
      <w:lvlText w:val="•"/>
      <w:lvlJc w:val="left"/>
      <w:pPr>
        <w:ind w:left="720" w:hanging="360"/>
      </w:pPr>
      <w:rPr>
        <w:rFonts w:ascii="Arial" w:eastAsia="ヒラギノ角ゴ Pro W3" w:hAnsi="Arial" w:cs="Arial" w:hint="default"/>
        <w:color w:val="124191"/>
        <w:sz w:val="16"/>
      </w:rPr>
    </w:lvl>
    <w:lvl w:ilvl="1" w:tplc="CE5A0868">
      <w:numFmt w:val="bullet"/>
      <w:lvlText w:val="–"/>
      <w:lvlJc w:val="left"/>
      <w:pPr>
        <w:ind w:left="1440" w:hanging="360"/>
      </w:pPr>
      <w:rPr>
        <w:rFonts w:ascii="Arial" w:eastAsia="ヒラギノ角ゴ Pro W3" w:hAnsi="Arial" w:cs="Arial" w:hint="default"/>
        <w:color w:val="124191"/>
        <w:sz w:val="16"/>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29751F8"/>
    <w:multiLevelType w:val="hybridMultilevel"/>
    <w:tmpl w:val="B62C6A74"/>
    <w:lvl w:ilvl="0" w:tplc="040B0001">
      <w:start w:val="1"/>
      <w:numFmt w:val="bullet"/>
      <w:lvlText w:val=""/>
      <w:lvlJc w:val="left"/>
      <w:pPr>
        <w:ind w:left="827" w:hanging="360"/>
      </w:pPr>
      <w:rPr>
        <w:rFonts w:ascii="Symbol" w:hAnsi="Symbol" w:hint="default"/>
      </w:rPr>
    </w:lvl>
    <w:lvl w:ilvl="1" w:tplc="040B0003" w:tentative="1">
      <w:start w:val="1"/>
      <w:numFmt w:val="bullet"/>
      <w:lvlText w:val="o"/>
      <w:lvlJc w:val="left"/>
      <w:pPr>
        <w:ind w:left="1547" w:hanging="360"/>
      </w:pPr>
      <w:rPr>
        <w:rFonts w:ascii="Courier New" w:hAnsi="Courier New" w:cs="Courier New" w:hint="default"/>
      </w:rPr>
    </w:lvl>
    <w:lvl w:ilvl="2" w:tplc="040B0005" w:tentative="1">
      <w:start w:val="1"/>
      <w:numFmt w:val="bullet"/>
      <w:lvlText w:val=""/>
      <w:lvlJc w:val="left"/>
      <w:pPr>
        <w:ind w:left="2267" w:hanging="360"/>
      </w:pPr>
      <w:rPr>
        <w:rFonts w:ascii="Wingdings" w:hAnsi="Wingdings" w:hint="default"/>
      </w:rPr>
    </w:lvl>
    <w:lvl w:ilvl="3" w:tplc="040B0001" w:tentative="1">
      <w:start w:val="1"/>
      <w:numFmt w:val="bullet"/>
      <w:lvlText w:val=""/>
      <w:lvlJc w:val="left"/>
      <w:pPr>
        <w:ind w:left="2987" w:hanging="360"/>
      </w:pPr>
      <w:rPr>
        <w:rFonts w:ascii="Symbol" w:hAnsi="Symbol" w:hint="default"/>
      </w:rPr>
    </w:lvl>
    <w:lvl w:ilvl="4" w:tplc="040B0003" w:tentative="1">
      <w:start w:val="1"/>
      <w:numFmt w:val="bullet"/>
      <w:lvlText w:val="o"/>
      <w:lvlJc w:val="left"/>
      <w:pPr>
        <w:ind w:left="3707" w:hanging="360"/>
      </w:pPr>
      <w:rPr>
        <w:rFonts w:ascii="Courier New" w:hAnsi="Courier New" w:cs="Courier New" w:hint="default"/>
      </w:rPr>
    </w:lvl>
    <w:lvl w:ilvl="5" w:tplc="040B0005" w:tentative="1">
      <w:start w:val="1"/>
      <w:numFmt w:val="bullet"/>
      <w:lvlText w:val=""/>
      <w:lvlJc w:val="left"/>
      <w:pPr>
        <w:ind w:left="4427" w:hanging="360"/>
      </w:pPr>
      <w:rPr>
        <w:rFonts w:ascii="Wingdings" w:hAnsi="Wingdings" w:hint="default"/>
      </w:rPr>
    </w:lvl>
    <w:lvl w:ilvl="6" w:tplc="040B0001" w:tentative="1">
      <w:start w:val="1"/>
      <w:numFmt w:val="bullet"/>
      <w:lvlText w:val=""/>
      <w:lvlJc w:val="left"/>
      <w:pPr>
        <w:ind w:left="5147" w:hanging="360"/>
      </w:pPr>
      <w:rPr>
        <w:rFonts w:ascii="Symbol" w:hAnsi="Symbol" w:hint="default"/>
      </w:rPr>
    </w:lvl>
    <w:lvl w:ilvl="7" w:tplc="040B0003" w:tentative="1">
      <w:start w:val="1"/>
      <w:numFmt w:val="bullet"/>
      <w:lvlText w:val="o"/>
      <w:lvlJc w:val="left"/>
      <w:pPr>
        <w:ind w:left="5867" w:hanging="360"/>
      </w:pPr>
      <w:rPr>
        <w:rFonts w:ascii="Courier New" w:hAnsi="Courier New" w:cs="Courier New" w:hint="default"/>
      </w:rPr>
    </w:lvl>
    <w:lvl w:ilvl="8" w:tplc="040B0005" w:tentative="1">
      <w:start w:val="1"/>
      <w:numFmt w:val="bullet"/>
      <w:lvlText w:val=""/>
      <w:lvlJc w:val="left"/>
      <w:pPr>
        <w:ind w:left="6587" w:hanging="360"/>
      </w:pPr>
      <w:rPr>
        <w:rFonts w:ascii="Wingdings" w:hAnsi="Wingdings" w:hint="default"/>
      </w:rPr>
    </w:lvl>
  </w:abstractNum>
  <w:abstractNum w:abstractNumId="9" w15:restartNumberingAfterBreak="0">
    <w:nsid w:val="1B096835"/>
    <w:multiLevelType w:val="hybridMultilevel"/>
    <w:tmpl w:val="E744C538"/>
    <w:lvl w:ilvl="0" w:tplc="040B0001">
      <w:start w:val="1"/>
      <w:numFmt w:val="bullet"/>
      <w:lvlText w:val=""/>
      <w:lvlJc w:val="left"/>
      <w:pPr>
        <w:ind w:left="1050" w:hanging="360"/>
      </w:pPr>
      <w:rPr>
        <w:rFonts w:ascii="Symbol" w:hAnsi="Symbol" w:hint="default"/>
      </w:rPr>
    </w:lvl>
    <w:lvl w:ilvl="1" w:tplc="040B0003" w:tentative="1">
      <w:start w:val="1"/>
      <w:numFmt w:val="bullet"/>
      <w:lvlText w:val="o"/>
      <w:lvlJc w:val="left"/>
      <w:pPr>
        <w:ind w:left="1770" w:hanging="360"/>
      </w:pPr>
      <w:rPr>
        <w:rFonts w:ascii="Courier New" w:hAnsi="Courier New" w:cs="Courier New" w:hint="default"/>
      </w:rPr>
    </w:lvl>
    <w:lvl w:ilvl="2" w:tplc="040B0005" w:tentative="1">
      <w:start w:val="1"/>
      <w:numFmt w:val="bullet"/>
      <w:lvlText w:val=""/>
      <w:lvlJc w:val="left"/>
      <w:pPr>
        <w:ind w:left="2490" w:hanging="360"/>
      </w:pPr>
      <w:rPr>
        <w:rFonts w:ascii="Wingdings" w:hAnsi="Wingdings" w:hint="default"/>
      </w:rPr>
    </w:lvl>
    <w:lvl w:ilvl="3" w:tplc="040B0001" w:tentative="1">
      <w:start w:val="1"/>
      <w:numFmt w:val="bullet"/>
      <w:lvlText w:val=""/>
      <w:lvlJc w:val="left"/>
      <w:pPr>
        <w:ind w:left="3210" w:hanging="360"/>
      </w:pPr>
      <w:rPr>
        <w:rFonts w:ascii="Symbol" w:hAnsi="Symbol" w:hint="default"/>
      </w:rPr>
    </w:lvl>
    <w:lvl w:ilvl="4" w:tplc="040B0003" w:tentative="1">
      <w:start w:val="1"/>
      <w:numFmt w:val="bullet"/>
      <w:lvlText w:val="o"/>
      <w:lvlJc w:val="left"/>
      <w:pPr>
        <w:ind w:left="3930" w:hanging="360"/>
      </w:pPr>
      <w:rPr>
        <w:rFonts w:ascii="Courier New" w:hAnsi="Courier New" w:cs="Courier New" w:hint="default"/>
      </w:rPr>
    </w:lvl>
    <w:lvl w:ilvl="5" w:tplc="040B0005" w:tentative="1">
      <w:start w:val="1"/>
      <w:numFmt w:val="bullet"/>
      <w:lvlText w:val=""/>
      <w:lvlJc w:val="left"/>
      <w:pPr>
        <w:ind w:left="4650" w:hanging="360"/>
      </w:pPr>
      <w:rPr>
        <w:rFonts w:ascii="Wingdings" w:hAnsi="Wingdings" w:hint="default"/>
      </w:rPr>
    </w:lvl>
    <w:lvl w:ilvl="6" w:tplc="040B0001" w:tentative="1">
      <w:start w:val="1"/>
      <w:numFmt w:val="bullet"/>
      <w:lvlText w:val=""/>
      <w:lvlJc w:val="left"/>
      <w:pPr>
        <w:ind w:left="5370" w:hanging="360"/>
      </w:pPr>
      <w:rPr>
        <w:rFonts w:ascii="Symbol" w:hAnsi="Symbol" w:hint="default"/>
      </w:rPr>
    </w:lvl>
    <w:lvl w:ilvl="7" w:tplc="040B0003" w:tentative="1">
      <w:start w:val="1"/>
      <w:numFmt w:val="bullet"/>
      <w:lvlText w:val="o"/>
      <w:lvlJc w:val="left"/>
      <w:pPr>
        <w:ind w:left="6090" w:hanging="360"/>
      </w:pPr>
      <w:rPr>
        <w:rFonts w:ascii="Courier New" w:hAnsi="Courier New" w:cs="Courier New" w:hint="default"/>
      </w:rPr>
    </w:lvl>
    <w:lvl w:ilvl="8" w:tplc="040B0005" w:tentative="1">
      <w:start w:val="1"/>
      <w:numFmt w:val="bullet"/>
      <w:lvlText w:val=""/>
      <w:lvlJc w:val="left"/>
      <w:pPr>
        <w:ind w:left="6810" w:hanging="360"/>
      </w:pPr>
      <w:rPr>
        <w:rFonts w:ascii="Wingdings" w:hAnsi="Wingdings" w:hint="default"/>
      </w:rPr>
    </w:lvl>
  </w:abstractNum>
  <w:abstractNum w:abstractNumId="10"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19B6769"/>
    <w:multiLevelType w:val="hybridMultilevel"/>
    <w:tmpl w:val="0D90AACA"/>
    <w:lvl w:ilvl="0" w:tplc="99A4906A">
      <w:start w:val="1"/>
      <w:numFmt w:val="bullet"/>
      <w:lvlText w:val="•"/>
      <w:lvlJc w:val="left"/>
      <w:pPr>
        <w:tabs>
          <w:tab w:val="num" w:pos="720"/>
        </w:tabs>
        <w:ind w:left="720" w:hanging="360"/>
      </w:pPr>
      <w:rPr>
        <w:rFonts w:ascii="Arial" w:hAnsi="Arial" w:hint="default"/>
      </w:rPr>
    </w:lvl>
    <w:lvl w:ilvl="1" w:tplc="ADE6E600">
      <w:numFmt w:val="bullet"/>
      <w:lvlText w:val="–"/>
      <w:lvlJc w:val="left"/>
      <w:pPr>
        <w:tabs>
          <w:tab w:val="num" w:pos="2204"/>
        </w:tabs>
        <w:ind w:left="2204" w:hanging="360"/>
      </w:pPr>
      <w:rPr>
        <w:rFonts w:ascii="Arial" w:hAnsi="Arial" w:hint="default"/>
      </w:rPr>
    </w:lvl>
    <w:lvl w:ilvl="2" w:tplc="400A14A6">
      <w:numFmt w:val="bullet"/>
      <w:lvlText w:val="•"/>
      <w:lvlJc w:val="left"/>
      <w:pPr>
        <w:tabs>
          <w:tab w:val="num" w:pos="2160"/>
        </w:tabs>
        <w:ind w:left="2160" w:hanging="360"/>
      </w:pPr>
      <w:rPr>
        <w:rFonts w:ascii="Arial" w:hAnsi="Arial" w:hint="default"/>
      </w:rPr>
    </w:lvl>
    <w:lvl w:ilvl="3" w:tplc="7F126D6A" w:tentative="1">
      <w:start w:val="1"/>
      <w:numFmt w:val="bullet"/>
      <w:lvlText w:val="•"/>
      <w:lvlJc w:val="left"/>
      <w:pPr>
        <w:tabs>
          <w:tab w:val="num" w:pos="2880"/>
        </w:tabs>
        <w:ind w:left="2880" w:hanging="360"/>
      </w:pPr>
      <w:rPr>
        <w:rFonts w:ascii="Arial" w:hAnsi="Arial" w:hint="default"/>
      </w:rPr>
    </w:lvl>
    <w:lvl w:ilvl="4" w:tplc="0D1425E4" w:tentative="1">
      <w:start w:val="1"/>
      <w:numFmt w:val="bullet"/>
      <w:lvlText w:val="•"/>
      <w:lvlJc w:val="left"/>
      <w:pPr>
        <w:tabs>
          <w:tab w:val="num" w:pos="3600"/>
        </w:tabs>
        <w:ind w:left="3600" w:hanging="360"/>
      </w:pPr>
      <w:rPr>
        <w:rFonts w:ascii="Arial" w:hAnsi="Arial" w:hint="default"/>
      </w:rPr>
    </w:lvl>
    <w:lvl w:ilvl="5" w:tplc="2160DD14" w:tentative="1">
      <w:start w:val="1"/>
      <w:numFmt w:val="bullet"/>
      <w:lvlText w:val="•"/>
      <w:lvlJc w:val="left"/>
      <w:pPr>
        <w:tabs>
          <w:tab w:val="num" w:pos="4320"/>
        </w:tabs>
        <w:ind w:left="4320" w:hanging="360"/>
      </w:pPr>
      <w:rPr>
        <w:rFonts w:ascii="Arial" w:hAnsi="Arial" w:hint="default"/>
      </w:rPr>
    </w:lvl>
    <w:lvl w:ilvl="6" w:tplc="0400E942" w:tentative="1">
      <w:start w:val="1"/>
      <w:numFmt w:val="bullet"/>
      <w:lvlText w:val="•"/>
      <w:lvlJc w:val="left"/>
      <w:pPr>
        <w:tabs>
          <w:tab w:val="num" w:pos="5040"/>
        </w:tabs>
        <w:ind w:left="5040" w:hanging="360"/>
      </w:pPr>
      <w:rPr>
        <w:rFonts w:ascii="Arial" w:hAnsi="Arial" w:hint="default"/>
      </w:rPr>
    </w:lvl>
    <w:lvl w:ilvl="7" w:tplc="18AA99D4" w:tentative="1">
      <w:start w:val="1"/>
      <w:numFmt w:val="bullet"/>
      <w:lvlText w:val="•"/>
      <w:lvlJc w:val="left"/>
      <w:pPr>
        <w:tabs>
          <w:tab w:val="num" w:pos="5760"/>
        </w:tabs>
        <w:ind w:left="5760" w:hanging="360"/>
      </w:pPr>
      <w:rPr>
        <w:rFonts w:ascii="Arial" w:hAnsi="Arial" w:hint="default"/>
      </w:rPr>
    </w:lvl>
    <w:lvl w:ilvl="8" w:tplc="ED5EC8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6577BD"/>
    <w:multiLevelType w:val="hybridMultilevel"/>
    <w:tmpl w:val="D7DCB1EE"/>
    <w:lvl w:ilvl="0" w:tplc="040B0001">
      <w:start w:val="1"/>
      <w:numFmt w:val="bullet"/>
      <w:lvlText w:val=""/>
      <w:lvlJc w:val="left"/>
      <w:pPr>
        <w:ind w:left="960" w:hanging="360"/>
      </w:pPr>
      <w:rPr>
        <w:rFonts w:ascii="Symbol" w:hAnsi="Symbol" w:hint="default"/>
      </w:rPr>
    </w:lvl>
    <w:lvl w:ilvl="1" w:tplc="040B0003" w:tentative="1">
      <w:start w:val="1"/>
      <w:numFmt w:val="bullet"/>
      <w:lvlText w:val="o"/>
      <w:lvlJc w:val="left"/>
      <w:pPr>
        <w:ind w:left="1680" w:hanging="360"/>
      </w:pPr>
      <w:rPr>
        <w:rFonts w:ascii="Courier New" w:hAnsi="Courier New" w:cs="Courier New" w:hint="default"/>
      </w:rPr>
    </w:lvl>
    <w:lvl w:ilvl="2" w:tplc="040B0005" w:tentative="1">
      <w:start w:val="1"/>
      <w:numFmt w:val="bullet"/>
      <w:lvlText w:val=""/>
      <w:lvlJc w:val="left"/>
      <w:pPr>
        <w:ind w:left="2400" w:hanging="360"/>
      </w:pPr>
      <w:rPr>
        <w:rFonts w:ascii="Wingdings" w:hAnsi="Wingdings" w:hint="default"/>
      </w:rPr>
    </w:lvl>
    <w:lvl w:ilvl="3" w:tplc="040B0001" w:tentative="1">
      <w:start w:val="1"/>
      <w:numFmt w:val="bullet"/>
      <w:lvlText w:val=""/>
      <w:lvlJc w:val="left"/>
      <w:pPr>
        <w:ind w:left="3120" w:hanging="360"/>
      </w:pPr>
      <w:rPr>
        <w:rFonts w:ascii="Symbol" w:hAnsi="Symbol" w:hint="default"/>
      </w:rPr>
    </w:lvl>
    <w:lvl w:ilvl="4" w:tplc="040B0003" w:tentative="1">
      <w:start w:val="1"/>
      <w:numFmt w:val="bullet"/>
      <w:lvlText w:val="o"/>
      <w:lvlJc w:val="left"/>
      <w:pPr>
        <w:ind w:left="3840" w:hanging="360"/>
      </w:pPr>
      <w:rPr>
        <w:rFonts w:ascii="Courier New" w:hAnsi="Courier New" w:cs="Courier New" w:hint="default"/>
      </w:rPr>
    </w:lvl>
    <w:lvl w:ilvl="5" w:tplc="040B0005" w:tentative="1">
      <w:start w:val="1"/>
      <w:numFmt w:val="bullet"/>
      <w:lvlText w:val=""/>
      <w:lvlJc w:val="left"/>
      <w:pPr>
        <w:ind w:left="4560" w:hanging="360"/>
      </w:pPr>
      <w:rPr>
        <w:rFonts w:ascii="Wingdings" w:hAnsi="Wingdings" w:hint="default"/>
      </w:rPr>
    </w:lvl>
    <w:lvl w:ilvl="6" w:tplc="040B0001" w:tentative="1">
      <w:start w:val="1"/>
      <w:numFmt w:val="bullet"/>
      <w:lvlText w:val=""/>
      <w:lvlJc w:val="left"/>
      <w:pPr>
        <w:ind w:left="5280" w:hanging="360"/>
      </w:pPr>
      <w:rPr>
        <w:rFonts w:ascii="Symbol" w:hAnsi="Symbol" w:hint="default"/>
      </w:rPr>
    </w:lvl>
    <w:lvl w:ilvl="7" w:tplc="040B0003" w:tentative="1">
      <w:start w:val="1"/>
      <w:numFmt w:val="bullet"/>
      <w:lvlText w:val="o"/>
      <w:lvlJc w:val="left"/>
      <w:pPr>
        <w:ind w:left="6000" w:hanging="360"/>
      </w:pPr>
      <w:rPr>
        <w:rFonts w:ascii="Courier New" w:hAnsi="Courier New" w:cs="Courier New" w:hint="default"/>
      </w:rPr>
    </w:lvl>
    <w:lvl w:ilvl="8" w:tplc="040B0005" w:tentative="1">
      <w:start w:val="1"/>
      <w:numFmt w:val="bullet"/>
      <w:lvlText w:val=""/>
      <w:lvlJc w:val="left"/>
      <w:pPr>
        <w:ind w:left="6720" w:hanging="360"/>
      </w:pPr>
      <w:rPr>
        <w:rFonts w:ascii="Wingdings" w:hAnsi="Wingdings" w:hint="default"/>
      </w:rPr>
    </w:lvl>
  </w:abstractNum>
  <w:abstractNum w:abstractNumId="14" w15:restartNumberingAfterBreak="0">
    <w:nsid w:val="2AE9551B"/>
    <w:multiLevelType w:val="hybridMultilevel"/>
    <w:tmpl w:val="61DA65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2FC1D6D"/>
    <w:multiLevelType w:val="hybridMultilevel"/>
    <w:tmpl w:val="0B2279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663338E"/>
    <w:multiLevelType w:val="hybridMultilevel"/>
    <w:tmpl w:val="AEE286D4"/>
    <w:lvl w:ilvl="0" w:tplc="4DE0EB70">
      <w:numFmt w:val="bullet"/>
      <w:lvlText w:val="-"/>
      <w:lvlJc w:val="left"/>
      <w:pPr>
        <w:ind w:left="720" w:hanging="360"/>
      </w:pPr>
      <w:rPr>
        <w:rFonts w:ascii="Calibri" w:eastAsia="MS Mincho"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4F59610E"/>
    <w:multiLevelType w:val="hybridMultilevel"/>
    <w:tmpl w:val="359CFA96"/>
    <w:lvl w:ilvl="0" w:tplc="003A040E">
      <w:start w:val="1"/>
      <w:numFmt w:val="bullet"/>
      <w:lvlText w:val="•"/>
      <w:lvlJc w:val="left"/>
      <w:pPr>
        <w:tabs>
          <w:tab w:val="num" w:pos="720"/>
        </w:tabs>
        <w:ind w:left="720" w:hanging="360"/>
      </w:pPr>
      <w:rPr>
        <w:rFonts w:ascii="Arial" w:hAnsi="Arial" w:hint="default"/>
      </w:rPr>
    </w:lvl>
    <w:lvl w:ilvl="1" w:tplc="0E94864E">
      <w:numFmt w:val="bullet"/>
      <w:lvlText w:val="•"/>
      <w:lvlJc w:val="left"/>
      <w:pPr>
        <w:tabs>
          <w:tab w:val="num" w:pos="1440"/>
        </w:tabs>
        <w:ind w:left="1440" w:hanging="360"/>
      </w:pPr>
      <w:rPr>
        <w:rFonts w:ascii="Arial" w:hAnsi="Arial" w:hint="default"/>
      </w:rPr>
    </w:lvl>
    <w:lvl w:ilvl="2" w:tplc="008EC654">
      <w:numFmt w:val="bullet"/>
      <w:lvlText w:val="•"/>
      <w:lvlJc w:val="left"/>
      <w:pPr>
        <w:tabs>
          <w:tab w:val="num" w:pos="2160"/>
        </w:tabs>
        <w:ind w:left="2160" w:hanging="360"/>
      </w:pPr>
      <w:rPr>
        <w:rFonts w:ascii="Arial" w:hAnsi="Arial" w:hint="default"/>
      </w:rPr>
    </w:lvl>
    <w:lvl w:ilvl="3" w:tplc="FD1EF916">
      <w:start w:val="1"/>
      <w:numFmt w:val="bullet"/>
      <w:lvlText w:val="•"/>
      <w:lvlJc w:val="left"/>
      <w:pPr>
        <w:tabs>
          <w:tab w:val="num" w:pos="2880"/>
        </w:tabs>
        <w:ind w:left="2880" w:hanging="360"/>
      </w:pPr>
      <w:rPr>
        <w:rFonts w:ascii="Arial" w:hAnsi="Arial" w:hint="default"/>
      </w:rPr>
    </w:lvl>
    <w:lvl w:ilvl="4" w:tplc="662AD15C" w:tentative="1">
      <w:start w:val="1"/>
      <w:numFmt w:val="bullet"/>
      <w:lvlText w:val="•"/>
      <w:lvlJc w:val="left"/>
      <w:pPr>
        <w:tabs>
          <w:tab w:val="num" w:pos="3600"/>
        </w:tabs>
        <w:ind w:left="3600" w:hanging="360"/>
      </w:pPr>
      <w:rPr>
        <w:rFonts w:ascii="Arial" w:hAnsi="Arial" w:hint="default"/>
      </w:rPr>
    </w:lvl>
    <w:lvl w:ilvl="5" w:tplc="6B54FC4E" w:tentative="1">
      <w:start w:val="1"/>
      <w:numFmt w:val="bullet"/>
      <w:lvlText w:val="•"/>
      <w:lvlJc w:val="left"/>
      <w:pPr>
        <w:tabs>
          <w:tab w:val="num" w:pos="4320"/>
        </w:tabs>
        <w:ind w:left="4320" w:hanging="360"/>
      </w:pPr>
      <w:rPr>
        <w:rFonts w:ascii="Arial" w:hAnsi="Arial" w:hint="default"/>
      </w:rPr>
    </w:lvl>
    <w:lvl w:ilvl="6" w:tplc="D59A2224" w:tentative="1">
      <w:start w:val="1"/>
      <w:numFmt w:val="bullet"/>
      <w:lvlText w:val="•"/>
      <w:lvlJc w:val="left"/>
      <w:pPr>
        <w:tabs>
          <w:tab w:val="num" w:pos="5040"/>
        </w:tabs>
        <w:ind w:left="5040" w:hanging="360"/>
      </w:pPr>
      <w:rPr>
        <w:rFonts w:ascii="Arial" w:hAnsi="Arial" w:hint="default"/>
      </w:rPr>
    </w:lvl>
    <w:lvl w:ilvl="7" w:tplc="2EBC2B42" w:tentative="1">
      <w:start w:val="1"/>
      <w:numFmt w:val="bullet"/>
      <w:lvlText w:val="•"/>
      <w:lvlJc w:val="left"/>
      <w:pPr>
        <w:tabs>
          <w:tab w:val="num" w:pos="5760"/>
        </w:tabs>
        <w:ind w:left="5760" w:hanging="360"/>
      </w:pPr>
      <w:rPr>
        <w:rFonts w:ascii="Arial" w:hAnsi="Arial" w:hint="default"/>
      </w:rPr>
    </w:lvl>
    <w:lvl w:ilvl="8" w:tplc="CEA2D5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521A9B"/>
    <w:multiLevelType w:val="hybridMultilevel"/>
    <w:tmpl w:val="A21A4C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4B73F34"/>
    <w:multiLevelType w:val="hybridMultilevel"/>
    <w:tmpl w:val="CB749F76"/>
    <w:lvl w:ilvl="0" w:tplc="420C3A88">
      <w:numFmt w:val="bullet"/>
      <w:lvlText w:val="-"/>
      <w:lvlJc w:val="left"/>
      <w:pPr>
        <w:ind w:left="720" w:hanging="360"/>
      </w:pPr>
      <w:rPr>
        <w:rFonts w:ascii="Calibri" w:eastAsia="MS Mincho"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142751B"/>
    <w:multiLevelType w:val="hybridMultilevel"/>
    <w:tmpl w:val="C97A007C"/>
    <w:lvl w:ilvl="0" w:tplc="079A234A">
      <w:start w:val="1"/>
      <w:numFmt w:val="bullet"/>
      <w:lvlText w:val="•"/>
      <w:lvlJc w:val="left"/>
      <w:pPr>
        <w:tabs>
          <w:tab w:val="num" w:pos="720"/>
        </w:tabs>
        <w:ind w:left="720" w:hanging="360"/>
      </w:pPr>
      <w:rPr>
        <w:rFonts w:ascii="Arial" w:hAnsi="Arial" w:hint="default"/>
      </w:rPr>
    </w:lvl>
    <w:lvl w:ilvl="1" w:tplc="15525582">
      <w:numFmt w:val="bullet"/>
      <w:lvlText w:val="–"/>
      <w:lvlJc w:val="left"/>
      <w:pPr>
        <w:tabs>
          <w:tab w:val="num" w:pos="1440"/>
        </w:tabs>
        <w:ind w:left="1440" w:hanging="360"/>
      </w:pPr>
      <w:rPr>
        <w:rFonts w:ascii="Arial" w:hAnsi="Arial" w:hint="default"/>
      </w:rPr>
    </w:lvl>
    <w:lvl w:ilvl="2" w:tplc="CE46F2E2">
      <w:start w:val="1"/>
      <w:numFmt w:val="bullet"/>
      <w:lvlText w:val="•"/>
      <w:lvlJc w:val="left"/>
      <w:pPr>
        <w:tabs>
          <w:tab w:val="num" w:pos="2160"/>
        </w:tabs>
        <w:ind w:left="2160" w:hanging="360"/>
      </w:pPr>
      <w:rPr>
        <w:rFonts w:ascii="Arial" w:hAnsi="Arial" w:hint="default"/>
      </w:rPr>
    </w:lvl>
    <w:lvl w:ilvl="3" w:tplc="5D949508" w:tentative="1">
      <w:start w:val="1"/>
      <w:numFmt w:val="bullet"/>
      <w:lvlText w:val="•"/>
      <w:lvlJc w:val="left"/>
      <w:pPr>
        <w:tabs>
          <w:tab w:val="num" w:pos="2880"/>
        </w:tabs>
        <w:ind w:left="2880" w:hanging="360"/>
      </w:pPr>
      <w:rPr>
        <w:rFonts w:ascii="Arial" w:hAnsi="Arial" w:hint="default"/>
      </w:rPr>
    </w:lvl>
    <w:lvl w:ilvl="4" w:tplc="BF3AA7C4" w:tentative="1">
      <w:start w:val="1"/>
      <w:numFmt w:val="bullet"/>
      <w:lvlText w:val="•"/>
      <w:lvlJc w:val="left"/>
      <w:pPr>
        <w:tabs>
          <w:tab w:val="num" w:pos="3600"/>
        </w:tabs>
        <w:ind w:left="3600" w:hanging="360"/>
      </w:pPr>
      <w:rPr>
        <w:rFonts w:ascii="Arial" w:hAnsi="Arial" w:hint="default"/>
      </w:rPr>
    </w:lvl>
    <w:lvl w:ilvl="5" w:tplc="98B28A0A" w:tentative="1">
      <w:start w:val="1"/>
      <w:numFmt w:val="bullet"/>
      <w:lvlText w:val="•"/>
      <w:lvlJc w:val="left"/>
      <w:pPr>
        <w:tabs>
          <w:tab w:val="num" w:pos="4320"/>
        </w:tabs>
        <w:ind w:left="4320" w:hanging="360"/>
      </w:pPr>
      <w:rPr>
        <w:rFonts w:ascii="Arial" w:hAnsi="Arial" w:hint="default"/>
      </w:rPr>
    </w:lvl>
    <w:lvl w:ilvl="6" w:tplc="2A1A7CE4" w:tentative="1">
      <w:start w:val="1"/>
      <w:numFmt w:val="bullet"/>
      <w:lvlText w:val="•"/>
      <w:lvlJc w:val="left"/>
      <w:pPr>
        <w:tabs>
          <w:tab w:val="num" w:pos="5040"/>
        </w:tabs>
        <w:ind w:left="5040" w:hanging="360"/>
      </w:pPr>
      <w:rPr>
        <w:rFonts w:ascii="Arial" w:hAnsi="Arial" w:hint="default"/>
      </w:rPr>
    </w:lvl>
    <w:lvl w:ilvl="7" w:tplc="D592DD10" w:tentative="1">
      <w:start w:val="1"/>
      <w:numFmt w:val="bullet"/>
      <w:lvlText w:val="•"/>
      <w:lvlJc w:val="left"/>
      <w:pPr>
        <w:tabs>
          <w:tab w:val="num" w:pos="5760"/>
        </w:tabs>
        <w:ind w:left="5760" w:hanging="360"/>
      </w:pPr>
      <w:rPr>
        <w:rFonts w:ascii="Arial" w:hAnsi="Arial" w:hint="default"/>
      </w:rPr>
    </w:lvl>
    <w:lvl w:ilvl="8" w:tplc="6A1C20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826FAD"/>
    <w:multiLevelType w:val="hybridMultilevel"/>
    <w:tmpl w:val="412A72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92B424A"/>
    <w:multiLevelType w:val="hybridMultilevel"/>
    <w:tmpl w:val="9B163F4A"/>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25" w15:restartNumberingAfterBreak="0">
    <w:nsid w:val="7D27069F"/>
    <w:multiLevelType w:val="hybridMultilevel"/>
    <w:tmpl w:val="74F8CEE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num w:numId="1">
    <w:abstractNumId w:val="2"/>
  </w:num>
  <w:num w:numId="2">
    <w:abstractNumId w:val="12"/>
  </w:num>
  <w:num w:numId="3">
    <w:abstractNumId w:val="20"/>
  </w:num>
  <w:num w:numId="4">
    <w:abstractNumId w:val="6"/>
  </w:num>
  <w:num w:numId="5">
    <w:abstractNumId w:val="1"/>
  </w:num>
  <w:num w:numId="6">
    <w:abstractNumId w:val="7"/>
  </w:num>
  <w:num w:numId="7">
    <w:abstractNumId w:val="11"/>
  </w:num>
  <w:num w:numId="8">
    <w:abstractNumId w:val="4"/>
  </w:num>
  <w:num w:numId="9">
    <w:abstractNumId w:val="8"/>
  </w:num>
  <w:num w:numId="10">
    <w:abstractNumId w:val="18"/>
  </w:num>
  <w:num w:numId="11">
    <w:abstractNumId w:val="22"/>
  </w:num>
  <w:num w:numId="12">
    <w:abstractNumId w:val="3"/>
  </w:num>
  <w:num w:numId="13">
    <w:abstractNumId w:val="5"/>
  </w:num>
  <w:num w:numId="14">
    <w:abstractNumId w:val="15"/>
  </w:num>
  <w:num w:numId="15">
    <w:abstractNumId w:val="0"/>
  </w:num>
  <w:num w:numId="16">
    <w:abstractNumId w:val="10"/>
  </w:num>
  <w:num w:numId="17">
    <w:abstractNumId w:val="17"/>
  </w:num>
  <w:num w:numId="18">
    <w:abstractNumId w:val="23"/>
  </w:num>
  <w:num w:numId="19">
    <w:abstractNumId w:val="25"/>
  </w:num>
  <w:num w:numId="20">
    <w:abstractNumId w:val="13"/>
  </w:num>
  <w:num w:numId="21">
    <w:abstractNumId w:val="19"/>
  </w:num>
  <w:num w:numId="22">
    <w:abstractNumId w:val="14"/>
  </w:num>
  <w:num w:numId="23">
    <w:abstractNumId w:val="22"/>
  </w:num>
  <w:num w:numId="24">
    <w:abstractNumId w:val="24"/>
  </w:num>
  <w:num w:numId="25">
    <w:abstractNumId w:val="9"/>
  </w:num>
  <w:num w:numId="26">
    <w:abstractNumId w:val="16"/>
  </w:num>
  <w:num w:numId="27">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EDA"/>
    <w:rsid w:val="0002011C"/>
    <w:rsid w:val="0002118F"/>
    <w:rsid w:val="00021990"/>
    <w:rsid w:val="00021C9B"/>
    <w:rsid w:val="00021ECE"/>
    <w:rsid w:val="00022790"/>
    <w:rsid w:val="00022C9F"/>
    <w:rsid w:val="000246AC"/>
    <w:rsid w:val="00024A33"/>
    <w:rsid w:val="00024DC6"/>
    <w:rsid w:val="0002562D"/>
    <w:rsid w:val="00025B5C"/>
    <w:rsid w:val="00025D50"/>
    <w:rsid w:val="00026794"/>
    <w:rsid w:val="000269F3"/>
    <w:rsid w:val="00026F2D"/>
    <w:rsid w:val="0002766A"/>
    <w:rsid w:val="00027BB9"/>
    <w:rsid w:val="00027BCE"/>
    <w:rsid w:val="00027CAF"/>
    <w:rsid w:val="00027F0D"/>
    <w:rsid w:val="000304CE"/>
    <w:rsid w:val="00030D5C"/>
    <w:rsid w:val="00031425"/>
    <w:rsid w:val="0003161D"/>
    <w:rsid w:val="00031C8B"/>
    <w:rsid w:val="00032523"/>
    <w:rsid w:val="000332E5"/>
    <w:rsid w:val="00033356"/>
    <w:rsid w:val="0003396B"/>
    <w:rsid w:val="00033EBA"/>
    <w:rsid w:val="000348B5"/>
    <w:rsid w:val="00034CBF"/>
    <w:rsid w:val="0003525C"/>
    <w:rsid w:val="00035B64"/>
    <w:rsid w:val="00036747"/>
    <w:rsid w:val="000374FD"/>
    <w:rsid w:val="000403A2"/>
    <w:rsid w:val="00040C6B"/>
    <w:rsid w:val="00041E94"/>
    <w:rsid w:val="000427FB"/>
    <w:rsid w:val="000438B8"/>
    <w:rsid w:val="00043CB2"/>
    <w:rsid w:val="00043DDC"/>
    <w:rsid w:val="00044EE5"/>
    <w:rsid w:val="000452CB"/>
    <w:rsid w:val="00045A94"/>
    <w:rsid w:val="00045C62"/>
    <w:rsid w:val="00046A1B"/>
    <w:rsid w:val="00047AD5"/>
    <w:rsid w:val="00047E2C"/>
    <w:rsid w:val="0005018D"/>
    <w:rsid w:val="000502B8"/>
    <w:rsid w:val="00050C10"/>
    <w:rsid w:val="000511F9"/>
    <w:rsid w:val="00051A08"/>
    <w:rsid w:val="00052045"/>
    <w:rsid w:val="00052484"/>
    <w:rsid w:val="0005264D"/>
    <w:rsid w:val="000528A2"/>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577"/>
    <w:rsid w:val="00072FD4"/>
    <w:rsid w:val="00072FFC"/>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5D"/>
    <w:rsid w:val="00095DEB"/>
    <w:rsid w:val="000962CD"/>
    <w:rsid w:val="00096D46"/>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798"/>
    <w:rsid w:val="000B3F94"/>
    <w:rsid w:val="000B442C"/>
    <w:rsid w:val="000B47DA"/>
    <w:rsid w:val="000B5566"/>
    <w:rsid w:val="000B5875"/>
    <w:rsid w:val="000B64B0"/>
    <w:rsid w:val="000B6692"/>
    <w:rsid w:val="000B6A1C"/>
    <w:rsid w:val="000B766E"/>
    <w:rsid w:val="000B7B63"/>
    <w:rsid w:val="000C0167"/>
    <w:rsid w:val="000C0402"/>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758"/>
    <w:rsid w:val="000D1E5F"/>
    <w:rsid w:val="000D24B2"/>
    <w:rsid w:val="000D26AC"/>
    <w:rsid w:val="000D273D"/>
    <w:rsid w:val="000D2972"/>
    <w:rsid w:val="000D29A9"/>
    <w:rsid w:val="000D2FC1"/>
    <w:rsid w:val="000D3441"/>
    <w:rsid w:val="000D3BE4"/>
    <w:rsid w:val="000D49A6"/>
    <w:rsid w:val="000D49BA"/>
    <w:rsid w:val="000D4E39"/>
    <w:rsid w:val="000D53B2"/>
    <w:rsid w:val="000D619B"/>
    <w:rsid w:val="000D6D22"/>
    <w:rsid w:val="000D775F"/>
    <w:rsid w:val="000D7CE1"/>
    <w:rsid w:val="000D7EC2"/>
    <w:rsid w:val="000E0D66"/>
    <w:rsid w:val="000E0ECC"/>
    <w:rsid w:val="000E13E9"/>
    <w:rsid w:val="000E16F8"/>
    <w:rsid w:val="000E3440"/>
    <w:rsid w:val="000E3442"/>
    <w:rsid w:val="000E3DEF"/>
    <w:rsid w:val="000E40A1"/>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3417"/>
    <w:rsid w:val="001036A3"/>
    <w:rsid w:val="001036A5"/>
    <w:rsid w:val="0010375D"/>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744"/>
    <w:rsid w:val="00133784"/>
    <w:rsid w:val="00133AC7"/>
    <w:rsid w:val="00135FFC"/>
    <w:rsid w:val="0013602C"/>
    <w:rsid w:val="001365B7"/>
    <w:rsid w:val="00137143"/>
    <w:rsid w:val="0013722F"/>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12C1"/>
    <w:rsid w:val="001616EE"/>
    <w:rsid w:val="00161D23"/>
    <w:rsid w:val="00162B80"/>
    <w:rsid w:val="0016398E"/>
    <w:rsid w:val="00163BD0"/>
    <w:rsid w:val="00163FEB"/>
    <w:rsid w:val="001641F1"/>
    <w:rsid w:val="00165033"/>
    <w:rsid w:val="0016567A"/>
    <w:rsid w:val="00165A7E"/>
    <w:rsid w:val="001670EA"/>
    <w:rsid w:val="00167108"/>
    <w:rsid w:val="001674A0"/>
    <w:rsid w:val="0017004F"/>
    <w:rsid w:val="00170154"/>
    <w:rsid w:val="001707D2"/>
    <w:rsid w:val="00170A4B"/>
    <w:rsid w:val="00170A88"/>
    <w:rsid w:val="00170B3C"/>
    <w:rsid w:val="00172D1A"/>
    <w:rsid w:val="001738A8"/>
    <w:rsid w:val="001765F6"/>
    <w:rsid w:val="00176D2D"/>
    <w:rsid w:val="001779E5"/>
    <w:rsid w:val="001779F1"/>
    <w:rsid w:val="00177D8E"/>
    <w:rsid w:val="001802CA"/>
    <w:rsid w:val="0018129E"/>
    <w:rsid w:val="001816EF"/>
    <w:rsid w:val="00181F7A"/>
    <w:rsid w:val="00182253"/>
    <w:rsid w:val="001825C2"/>
    <w:rsid w:val="00182C1B"/>
    <w:rsid w:val="001834F4"/>
    <w:rsid w:val="00184D12"/>
    <w:rsid w:val="0018584F"/>
    <w:rsid w:val="00185D9D"/>
    <w:rsid w:val="00185E10"/>
    <w:rsid w:val="00186365"/>
    <w:rsid w:val="00186E93"/>
    <w:rsid w:val="00186FFA"/>
    <w:rsid w:val="0018712B"/>
    <w:rsid w:val="00187135"/>
    <w:rsid w:val="001900A2"/>
    <w:rsid w:val="00191226"/>
    <w:rsid w:val="0019147C"/>
    <w:rsid w:val="001915E3"/>
    <w:rsid w:val="00191DC6"/>
    <w:rsid w:val="00192BAC"/>
    <w:rsid w:val="00192C92"/>
    <w:rsid w:val="00192DCF"/>
    <w:rsid w:val="00193D35"/>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F61"/>
    <w:rsid w:val="001B383B"/>
    <w:rsid w:val="001B3C00"/>
    <w:rsid w:val="001B3C14"/>
    <w:rsid w:val="001B4BB4"/>
    <w:rsid w:val="001B4DE0"/>
    <w:rsid w:val="001B5269"/>
    <w:rsid w:val="001B547E"/>
    <w:rsid w:val="001B5B11"/>
    <w:rsid w:val="001B639E"/>
    <w:rsid w:val="001B6BA0"/>
    <w:rsid w:val="001B75A9"/>
    <w:rsid w:val="001B7D63"/>
    <w:rsid w:val="001C011F"/>
    <w:rsid w:val="001C0134"/>
    <w:rsid w:val="001C03C5"/>
    <w:rsid w:val="001C15EA"/>
    <w:rsid w:val="001C1F43"/>
    <w:rsid w:val="001C2794"/>
    <w:rsid w:val="001C313D"/>
    <w:rsid w:val="001C37D8"/>
    <w:rsid w:val="001C3918"/>
    <w:rsid w:val="001C46A1"/>
    <w:rsid w:val="001C46E6"/>
    <w:rsid w:val="001C4AB6"/>
    <w:rsid w:val="001C4C61"/>
    <w:rsid w:val="001C4CC0"/>
    <w:rsid w:val="001C5DE3"/>
    <w:rsid w:val="001C6A5A"/>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6678"/>
    <w:rsid w:val="001E065E"/>
    <w:rsid w:val="001E0A37"/>
    <w:rsid w:val="001E2449"/>
    <w:rsid w:val="001E385D"/>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200870"/>
    <w:rsid w:val="00202151"/>
    <w:rsid w:val="002026A7"/>
    <w:rsid w:val="00203461"/>
    <w:rsid w:val="00204B3A"/>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50E6"/>
    <w:rsid w:val="00275497"/>
    <w:rsid w:val="00275636"/>
    <w:rsid w:val="00275D6B"/>
    <w:rsid w:val="00275E77"/>
    <w:rsid w:val="002760EE"/>
    <w:rsid w:val="00276108"/>
    <w:rsid w:val="0027617D"/>
    <w:rsid w:val="002763A9"/>
    <w:rsid w:val="00276FDD"/>
    <w:rsid w:val="002776DB"/>
    <w:rsid w:val="00277E7D"/>
    <w:rsid w:val="00280251"/>
    <w:rsid w:val="00280569"/>
    <w:rsid w:val="00280F72"/>
    <w:rsid w:val="0028125E"/>
    <w:rsid w:val="00281DD8"/>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0D3"/>
    <w:rsid w:val="00287F64"/>
    <w:rsid w:val="00290249"/>
    <w:rsid w:val="00291165"/>
    <w:rsid w:val="002912A3"/>
    <w:rsid w:val="002914AA"/>
    <w:rsid w:val="00292580"/>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DF6"/>
    <w:rsid w:val="002A2903"/>
    <w:rsid w:val="002A3242"/>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9C4"/>
    <w:rsid w:val="002B4D11"/>
    <w:rsid w:val="002B50EA"/>
    <w:rsid w:val="002B60E3"/>
    <w:rsid w:val="002B63C5"/>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D11"/>
    <w:rsid w:val="002C6181"/>
    <w:rsid w:val="002C6255"/>
    <w:rsid w:val="002C6E3E"/>
    <w:rsid w:val="002D1214"/>
    <w:rsid w:val="002D2B0D"/>
    <w:rsid w:val="002D2B82"/>
    <w:rsid w:val="002D2F36"/>
    <w:rsid w:val="002D365F"/>
    <w:rsid w:val="002D36B6"/>
    <w:rsid w:val="002D45F7"/>
    <w:rsid w:val="002D4A9A"/>
    <w:rsid w:val="002D5D78"/>
    <w:rsid w:val="002D65EF"/>
    <w:rsid w:val="002D78A9"/>
    <w:rsid w:val="002D7C18"/>
    <w:rsid w:val="002E0340"/>
    <w:rsid w:val="002E0E1B"/>
    <w:rsid w:val="002E1100"/>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B0C"/>
    <w:rsid w:val="003048D7"/>
    <w:rsid w:val="0030497F"/>
    <w:rsid w:val="00304B22"/>
    <w:rsid w:val="00304E42"/>
    <w:rsid w:val="0030518D"/>
    <w:rsid w:val="0030580E"/>
    <w:rsid w:val="003061B5"/>
    <w:rsid w:val="003071F6"/>
    <w:rsid w:val="0030771E"/>
    <w:rsid w:val="00307A00"/>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6F2D"/>
    <w:rsid w:val="00347245"/>
    <w:rsid w:val="003472CC"/>
    <w:rsid w:val="003474B8"/>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57F6D"/>
    <w:rsid w:val="00360E66"/>
    <w:rsid w:val="00361031"/>
    <w:rsid w:val="00361310"/>
    <w:rsid w:val="0036140A"/>
    <w:rsid w:val="00361795"/>
    <w:rsid w:val="00361A67"/>
    <w:rsid w:val="00362676"/>
    <w:rsid w:val="00362DE1"/>
    <w:rsid w:val="00363D73"/>
    <w:rsid w:val="003642A6"/>
    <w:rsid w:val="00364BBC"/>
    <w:rsid w:val="00364BDE"/>
    <w:rsid w:val="00364D63"/>
    <w:rsid w:val="0036569D"/>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0F6"/>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129"/>
    <w:rsid w:val="00384C6A"/>
    <w:rsid w:val="003860C3"/>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C4F"/>
    <w:rsid w:val="0039496A"/>
    <w:rsid w:val="00395FD5"/>
    <w:rsid w:val="0039629A"/>
    <w:rsid w:val="003A00F4"/>
    <w:rsid w:val="003A43B2"/>
    <w:rsid w:val="003A53D0"/>
    <w:rsid w:val="003A597F"/>
    <w:rsid w:val="003A5F81"/>
    <w:rsid w:val="003A6088"/>
    <w:rsid w:val="003A6DA3"/>
    <w:rsid w:val="003A7966"/>
    <w:rsid w:val="003A79F8"/>
    <w:rsid w:val="003B030B"/>
    <w:rsid w:val="003B10E4"/>
    <w:rsid w:val="003B1105"/>
    <w:rsid w:val="003B1161"/>
    <w:rsid w:val="003B126F"/>
    <w:rsid w:val="003B19F9"/>
    <w:rsid w:val="003B22B4"/>
    <w:rsid w:val="003B24A9"/>
    <w:rsid w:val="003B425C"/>
    <w:rsid w:val="003B4D48"/>
    <w:rsid w:val="003B5D2A"/>
    <w:rsid w:val="003B5E02"/>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49D"/>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5CB6"/>
    <w:rsid w:val="003D767C"/>
    <w:rsid w:val="003E1325"/>
    <w:rsid w:val="003E275E"/>
    <w:rsid w:val="003E3F38"/>
    <w:rsid w:val="003E52DA"/>
    <w:rsid w:val="003E5B29"/>
    <w:rsid w:val="003E5E46"/>
    <w:rsid w:val="003E61C3"/>
    <w:rsid w:val="003E6D55"/>
    <w:rsid w:val="003E6F97"/>
    <w:rsid w:val="003E73BB"/>
    <w:rsid w:val="003F04D3"/>
    <w:rsid w:val="003F0788"/>
    <w:rsid w:val="003F1329"/>
    <w:rsid w:val="003F1A7F"/>
    <w:rsid w:val="003F3084"/>
    <w:rsid w:val="003F3B26"/>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D6C"/>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514A"/>
    <w:rsid w:val="00445FF7"/>
    <w:rsid w:val="00446C2A"/>
    <w:rsid w:val="00447263"/>
    <w:rsid w:val="0044754C"/>
    <w:rsid w:val="0044759B"/>
    <w:rsid w:val="004478B9"/>
    <w:rsid w:val="004504B3"/>
    <w:rsid w:val="00450716"/>
    <w:rsid w:val="00450C71"/>
    <w:rsid w:val="00451323"/>
    <w:rsid w:val="0045159A"/>
    <w:rsid w:val="004521DE"/>
    <w:rsid w:val="00453341"/>
    <w:rsid w:val="00454106"/>
    <w:rsid w:val="00454C6B"/>
    <w:rsid w:val="00454D1F"/>
    <w:rsid w:val="004567B7"/>
    <w:rsid w:val="004569DA"/>
    <w:rsid w:val="00456D13"/>
    <w:rsid w:val="00457671"/>
    <w:rsid w:val="00457A67"/>
    <w:rsid w:val="0046048D"/>
    <w:rsid w:val="004608E9"/>
    <w:rsid w:val="00460FCA"/>
    <w:rsid w:val="00461210"/>
    <w:rsid w:val="00461C9E"/>
    <w:rsid w:val="00461CA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56D5"/>
    <w:rsid w:val="00495C1F"/>
    <w:rsid w:val="00496232"/>
    <w:rsid w:val="0049667C"/>
    <w:rsid w:val="00496B42"/>
    <w:rsid w:val="00496B93"/>
    <w:rsid w:val="00496D59"/>
    <w:rsid w:val="004A13C3"/>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0"/>
    <w:rsid w:val="004B185D"/>
    <w:rsid w:val="004B1D34"/>
    <w:rsid w:val="004B2080"/>
    <w:rsid w:val="004B219D"/>
    <w:rsid w:val="004B2CE0"/>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06D"/>
    <w:rsid w:val="004C7056"/>
    <w:rsid w:val="004C7072"/>
    <w:rsid w:val="004C795A"/>
    <w:rsid w:val="004D006C"/>
    <w:rsid w:val="004D04B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30AED"/>
    <w:rsid w:val="005320DC"/>
    <w:rsid w:val="00532ADE"/>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869"/>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51B6"/>
    <w:rsid w:val="00595E18"/>
    <w:rsid w:val="0059645C"/>
    <w:rsid w:val="005966B3"/>
    <w:rsid w:val="005975F5"/>
    <w:rsid w:val="00597EBB"/>
    <w:rsid w:val="005A0173"/>
    <w:rsid w:val="005A1C50"/>
    <w:rsid w:val="005A2A83"/>
    <w:rsid w:val="005A2DA3"/>
    <w:rsid w:val="005A36A5"/>
    <w:rsid w:val="005A510C"/>
    <w:rsid w:val="005A58FF"/>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84"/>
    <w:rsid w:val="005C26B5"/>
    <w:rsid w:val="005C2EAB"/>
    <w:rsid w:val="005C2F97"/>
    <w:rsid w:val="005C2FE5"/>
    <w:rsid w:val="005C36BE"/>
    <w:rsid w:val="005C492F"/>
    <w:rsid w:val="005C50BD"/>
    <w:rsid w:val="005C55F6"/>
    <w:rsid w:val="005C5A5E"/>
    <w:rsid w:val="005C65DC"/>
    <w:rsid w:val="005C76DF"/>
    <w:rsid w:val="005C7C25"/>
    <w:rsid w:val="005D07CC"/>
    <w:rsid w:val="005D08ED"/>
    <w:rsid w:val="005D0F48"/>
    <w:rsid w:val="005D1312"/>
    <w:rsid w:val="005D2497"/>
    <w:rsid w:val="005D26C8"/>
    <w:rsid w:val="005D2E62"/>
    <w:rsid w:val="005D3076"/>
    <w:rsid w:val="005D3250"/>
    <w:rsid w:val="005D3565"/>
    <w:rsid w:val="005D3842"/>
    <w:rsid w:val="005D49DA"/>
    <w:rsid w:val="005D67F8"/>
    <w:rsid w:val="005D6AFC"/>
    <w:rsid w:val="005D712D"/>
    <w:rsid w:val="005D718D"/>
    <w:rsid w:val="005D79C5"/>
    <w:rsid w:val="005D7DE6"/>
    <w:rsid w:val="005D7F2A"/>
    <w:rsid w:val="005E165C"/>
    <w:rsid w:val="005E2732"/>
    <w:rsid w:val="005E39F8"/>
    <w:rsid w:val="005E3F9F"/>
    <w:rsid w:val="005E4F2B"/>
    <w:rsid w:val="005F04A6"/>
    <w:rsid w:val="005F085D"/>
    <w:rsid w:val="005F0A0B"/>
    <w:rsid w:val="005F0D07"/>
    <w:rsid w:val="005F0E4E"/>
    <w:rsid w:val="005F30A0"/>
    <w:rsid w:val="005F366E"/>
    <w:rsid w:val="005F3814"/>
    <w:rsid w:val="005F4C1E"/>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100B4"/>
    <w:rsid w:val="006106A7"/>
    <w:rsid w:val="00610717"/>
    <w:rsid w:val="00610E1D"/>
    <w:rsid w:val="00612DF0"/>
    <w:rsid w:val="006135EF"/>
    <w:rsid w:val="006139EF"/>
    <w:rsid w:val="0061415E"/>
    <w:rsid w:val="00614CD1"/>
    <w:rsid w:val="00614FCF"/>
    <w:rsid w:val="00615C6B"/>
    <w:rsid w:val="00616221"/>
    <w:rsid w:val="00616928"/>
    <w:rsid w:val="00616FAD"/>
    <w:rsid w:val="006170B7"/>
    <w:rsid w:val="00617D97"/>
    <w:rsid w:val="006203B0"/>
    <w:rsid w:val="0062202B"/>
    <w:rsid w:val="006224A4"/>
    <w:rsid w:val="00622BEC"/>
    <w:rsid w:val="006233EE"/>
    <w:rsid w:val="0062428B"/>
    <w:rsid w:val="00624A16"/>
    <w:rsid w:val="00624A81"/>
    <w:rsid w:val="00624D37"/>
    <w:rsid w:val="00625597"/>
    <w:rsid w:val="00625731"/>
    <w:rsid w:val="006258F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5C74"/>
    <w:rsid w:val="006362B3"/>
    <w:rsid w:val="006364E8"/>
    <w:rsid w:val="00636C7D"/>
    <w:rsid w:val="00636DE0"/>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6D8E"/>
    <w:rsid w:val="006472E1"/>
    <w:rsid w:val="006476E0"/>
    <w:rsid w:val="00647FF4"/>
    <w:rsid w:val="006503A0"/>
    <w:rsid w:val="00650E37"/>
    <w:rsid w:val="00650E85"/>
    <w:rsid w:val="00652869"/>
    <w:rsid w:val="00652D5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A42"/>
    <w:rsid w:val="00661EFD"/>
    <w:rsid w:val="006625AC"/>
    <w:rsid w:val="006625C9"/>
    <w:rsid w:val="00662B01"/>
    <w:rsid w:val="00662DC9"/>
    <w:rsid w:val="00663245"/>
    <w:rsid w:val="00664540"/>
    <w:rsid w:val="00664AF1"/>
    <w:rsid w:val="00664C81"/>
    <w:rsid w:val="00664F8B"/>
    <w:rsid w:val="006652BE"/>
    <w:rsid w:val="00666086"/>
    <w:rsid w:val="00667501"/>
    <w:rsid w:val="00667B1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5B1"/>
    <w:rsid w:val="006907DB"/>
    <w:rsid w:val="00690C7E"/>
    <w:rsid w:val="00690E94"/>
    <w:rsid w:val="00691E2A"/>
    <w:rsid w:val="00692561"/>
    <w:rsid w:val="006939DF"/>
    <w:rsid w:val="00693F7D"/>
    <w:rsid w:val="00694270"/>
    <w:rsid w:val="006944F3"/>
    <w:rsid w:val="00694C3E"/>
    <w:rsid w:val="006950E8"/>
    <w:rsid w:val="00695F8B"/>
    <w:rsid w:val="00696093"/>
    <w:rsid w:val="006973F6"/>
    <w:rsid w:val="006975A7"/>
    <w:rsid w:val="006A0D77"/>
    <w:rsid w:val="006A0DF4"/>
    <w:rsid w:val="006A196A"/>
    <w:rsid w:val="006A216A"/>
    <w:rsid w:val="006A260E"/>
    <w:rsid w:val="006A2EEE"/>
    <w:rsid w:val="006A3441"/>
    <w:rsid w:val="006A409D"/>
    <w:rsid w:val="006A458B"/>
    <w:rsid w:val="006A4807"/>
    <w:rsid w:val="006A4B0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6977"/>
    <w:rsid w:val="006B6B8F"/>
    <w:rsid w:val="006C0399"/>
    <w:rsid w:val="006C0925"/>
    <w:rsid w:val="006C0BEA"/>
    <w:rsid w:val="006C0CBB"/>
    <w:rsid w:val="006C0D75"/>
    <w:rsid w:val="006C14F9"/>
    <w:rsid w:val="006C1952"/>
    <w:rsid w:val="006C2A38"/>
    <w:rsid w:val="006C2BF7"/>
    <w:rsid w:val="006C3527"/>
    <w:rsid w:val="006C3B93"/>
    <w:rsid w:val="006C3FC9"/>
    <w:rsid w:val="006C5177"/>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7F1"/>
    <w:rsid w:val="00736D12"/>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FE3"/>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682"/>
    <w:rsid w:val="007E5863"/>
    <w:rsid w:val="007E5BB1"/>
    <w:rsid w:val="007E61D7"/>
    <w:rsid w:val="007E670B"/>
    <w:rsid w:val="007E6782"/>
    <w:rsid w:val="007E7BBD"/>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A30"/>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4F6"/>
    <w:rsid w:val="008348B5"/>
    <w:rsid w:val="00834974"/>
    <w:rsid w:val="00834B77"/>
    <w:rsid w:val="00835028"/>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8E9"/>
    <w:rsid w:val="00857991"/>
    <w:rsid w:val="008579DF"/>
    <w:rsid w:val="008602D0"/>
    <w:rsid w:val="00860479"/>
    <w:rsid w:val="00860D93"/>
    <w:rsid w:val="008620E7"/>
    <w:rsid w:val="008627F9"/>
    <w:rsid w:val="00862C9D"/>
    <w:rsid w:val="00862D90"/>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E26"/>
    <w:rsid w:val="00894FF0"/>
    <w:rsid w:val="0089558A"/>
    <w:rsid w:val="00896937"/>
    <w:rsid w:val="00896CB5"/>
    <w:rsid w:val="008976FE"/>
    <w:rsid w:val="00897C5A"/>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75C"/>
    <w:rsid w:val="008B29D8"/>
    <w:rsid w:val="008B2BF9"/>
    <w:rsid w:val="008B2E79"/>
    <w:rsid w:val="008B37A3"/>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48E"/>
    <w:rsid w:val="008C2658"/>
    <w:rsid w:val="008C2964"/>
    <w:rsid w:val="008C2C58"/>
    <w:rsid w:val="008C375E"/>
    <w:rsid w:val="008C44F0"/>
    <w:rsid w:val="008C4C4D"/>
    <w:rsid w:val="008C62C8"/>
    <w:rsid w:val="008C6EF2"/>
    <w:rsid w:val="008D0543"/>
    <w:rsid w:val="008D1470"/>
    <w:rsid w:val="008D1550"/>
    <w:rsid w:val="008D1EA2"/>
    <w:rsid w:val="008D2946"/>
    <w:rsid w:val="008D3738"/>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3834"/>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D35"/>
    <w:rsid w:val="00905F83"/>
    <w:rsid w:val="00906721"/>
    <w:rsid w:val="009068FB"/>
    <w:rsid w:val="00906DA6"/>
    <w:rsid w:val="0090791B"/>
    <w:rsid w:val="009079FF"/>
    <w:rsid w:val="00907E66"/>
    <w:rsid w:val="009104EF"/>
    <w:rsid w:val="009105A0"/>
    <w:rsid w:val="0091070D"/>
    <w:rsid w:val="009109D3"/>
    <w:rsid w:val="00910B28"/>
    <w:rsid w:val="009116AE"/>
    <w:rsid w:val="0091221F"/>
    <w:rsid w:val="009129DC"/>
    <w:rsid w:val="009137C1"/>
    <w:rsid w:val="009139E7"/>
    <w:rsid w:val="0091466E"/>
    <w:rsid w:val="00915311"/>
    <w:rsid w:val="00915531"/>
    <w:rsid w:val="00915849"/>
    <w:rsid w:val="009159A4"/>
    <w:rsid w:val="00915B81"/>
    <w:rsid w:val="0092052D"/>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5A0B"/>
    <w:rsid w:val="00926359"/>
    <w:rsid w:val="00927C14"/>
    <w:rsid w:val="00927E04"/>
    <w:rsid w:val="00930C42"/>
    <w:rsid w:val="0093112D"/>
    <w:rsid w:val="00931ACC"/>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0727"/>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5CD"/>
    <w:rsid w:val="00972BF4"/>
    <w:rsid w:val="00972DEC"/>
    <w:rsid w:val="0097313A"/>
    <w:rsid w:val="0097371B"/>
    <w:rsid w:val="00973C34"/>
    <w:rsid w:val="009743BE"/>
    <w:rsid w:val="009748BF"/>
    <w:rsid w:val="00974F09"/>
    <w:rsid w:val="009756ED"/>
    <w:rsid w:val="00976F48"/>
    <w:rsid w:val="00977746"/>
    <w:rsid w:val="00980501"/>
    <w:rsid w:val="0098092C"/>
    <w:rsid w:val="009819E6"/>
    <w:rsid w:val="0098268E"/>
    <w:rsid w:val="00983AFA"/>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F19"/>
    <w:rsid w:val="009A03E1"/>
    <w:rsid w:val="009A0E19"/>
    <w:rsid w:val="009A16BB"/>
    <w:rsid w:val="009A29B3"/>
    <w:rsid w:val="009A2E69"/>
    <w:rsid w:val="009A31E9"/>
    <w:rsid w:val="009A33EF"/>
    <w:rsid w:val="009A33F0"/>
    <w:rsid w:val="009A3B0D"/>
    <w:rsid w:val="009A3CE1"/>
    <w:rsid w:val="009A439E"/>
    <w:rsid w:val="009A4ACA"/>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ABB"/>
    <w:rsid w:val="009C2C91"/>
    <w:rsid w:val="009C2DD2"/>
    <w:rsid w:val="009C3DB4"/>
    <w:rsid w:val="009C3FCB"/>
    <w:rsid w:val="009C4B78"/>
    <w:rsid w:val="009C4CF1"/>
    <w:rsid w:val="009C4DFA"/>
    <w:rsid w:val="009C51D5"/>
    <w:rsid w:val="009C5F66"/>
    <w:rsid w:val="009C60ED"/>
    <w:rsid w:val="009C6335"/>
    <w:rsid w:val="009C69B3"/>
    <w:rsid w:val="009C6F7B"/>
    <w:rsid w:val="009C73D2"/>
    <w:rsid w:val="009D0220"/>
    <w:rsid w:val="009D122C"/>
    <w:rsid w:val="009D14D0"/>
    <w:rsid w:val="009D240A"/>
    <w:rsid w:val="009D241E"/>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848"/>
    <w:rsid w:val="009E5976"/>
    <w:rsid w:val="009E5AF5"/>
    <w:rsid w:val="009E5D35"/>
    <w:rsid w:val="009E5E17"/>
    <w:rsid w:val="009E63B9"/>
    <w:rsid w:val="009E658B"/>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DF7"/>
    <w:rsid w:val="00A12FE5"/>
    <w:rsid w:val="00A13A13"/>
    <w:rsid w:val="00A142E0"/>
    <w:rsid w:val="00A14614"/>
    <w:rsid w:val="00A14C42"/>
    <w:rsid w:val="00A14D40"/>
    <w:rsid w:val="00A1575C"/>
    <w:rsid w:val="00A15A9B"/>
    <w:rsid w:val="00A16294"/>
    <w:rsid w:val="00A175BB"/>
    <w:rsid w:val="00A17911"/>
    <w:rsid w:val="00A20BFC"/>
    <w:rsid w:val="00A20DE4"/>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F58"/>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64A"/>
    <w:rsid w:val="00A33A7D"/>
    <w:rsid w:val="00A33F79"/>
    <w:rsid w:val="00A3493B"/>
    <w:rsid w:val="00A349E6"/>
    <w:rsid w:val="00A34AB0"/>
    <w:rsid w:val="00A359A9"/>
    <w:rsid w:val="00A36541"/>
    <w:rsid w:val="00A370FB"/>
    <w:rsid w:val="00A40227"/>
    <w:rsid w:val="00A40E01"/>
    <w:rsid w:val="00A4171B"/>
    <w:rsid w:val="00A41E43"/>
    <w:rsid w:val="00A4307B"/>
    <w:rsid w:val="00A439F1"/>
    <w:rsid w:val="00A43F03"/>
    <w:rsid w:val="00A452A4"/>
    <w:rsid w:val="00A454EB"/>
    <w:rsid w:val="00A46203"/>
    <w:rsid w:val="00A4639E"/>
    <w:rsid w:val="00A466FC"/>
    <w:rsid w:val="00A46845"/>
    <w:rsid w:val="00A46A0D"/>
    <w:rsid w:val="00A46C62"/>
    <w:rsid w:val="00A47488"/>
    <w:rsid w:val="00A47E8D"/>
    <w:rsid w:val="00A5019D"/>
    <w:rsid w:val="00A507B3"/>
    <w:rsid w:val="00A50806"/>
    <w:rsid w:val="00A5082E"/>
    <w:rsid w:val="00A50888"/>
    <w:rsid w:val="00A50C22"/>
    <w:rsid w:val="00A50E74"/>
    <w:rsid w:val="00A50FDD"/>
    <w:rsid w:val="00A51E31"/>
    <w:rsid w:val="00A528CF"/>
    <w:rsid w:val="00A529C8"/>
    <w:rsid w:val="00A531E0"/>
    <w:rsid w:val="00A5359F"/>
    <w:rsid w:val="00A53947"/>
    <w:rsid w:val="00A539D1"/>
    <w:rsid w:val="00A53A07"/>
    <w:rsid w:val="00A53CB5"/>
    <w:rsid w:val="00A54471"/>
    <w:rsid w:val="00A54F4E"/>
    <w:rsid w:val="00A5592F"/>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D04"/>
    <w:rsid w:val="00A67D68"/>
    <w:rsid w:val="00A7088A"/>
    <w:rsid w:val="00A70DDB"/>
    <w:rsid w:val="00A70EB8"/>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C3E"/>
    <w:rsid w:val="00AC6F30"/>
    <w:rsid w:val="00AC7B39"/>
    <w:rsid w:val="00AC7DE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1792"/>
    <w:rsid w:val="00AE1B7A"/>
    <w:rsid w:val="00AE1E45"/>
    <w:rsid w:val="00AE1ECE"/>
    <w:rsid w:val="00AE2112"/>
    <w:rsid w:val="00AE2327"/>
    <w:rsid w:val="00AE2ABF"/>
    <w:rsid w:val="00AE2F67"/>
    <w:rsid w:val="00AE2F7E"/>
    <w:rsid w:val="00AE3775"/>
    <w:rsid w:val="00AE3FBF"/>
    <w:rsid w:val="00AE42C8"/>
    <w:rsid w:val="00AE4914"/>
    <w:rsid w:val="00AE4DC1"/>
    <w:rsid w:val="00AE516B"/>
    <w:rsid w:val="00AE5E52"/>
    <w:rsid w:val="00AE5F5C"/>
    <w:rsid w:val="00AE5FBA"/>
    <w:rsid w:val="00AE6B28"/>
    <w:rsid w:val="00AE732B"/>
    <w:rsid w:val="00AE7655"/>
    <w:rsid w:val="00AE776C"/>
    <w:rsid w:val="00AE7A30"/>
    <w:rsid w:val="00AF1890"/>
    <w:rsid w:val="00AF2095"/>
    <w:rsid w:val="00AF3073"/>
    <w:rsid w:val="00AF3233"/>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5D08"/>
    <w:rsid w:val="00B078B4"/>
    <w:rsid w:val="00B109C2"/>
    <w:rsid w:val="00B1240F"/>
    <w:rsid w:val="00B1244A"/>
    <w:rsid w:val="00B12790"/>
    <w:rsid w:val="00B13051"/>
    <w:rsid w:val="00B130E0"/>
    <w:rsid w:val="00B1344F"/>
    <w:rsid w:val="00B135A5"/>
    <w:rsid w:val="00B13721"/>
    <w:rsid w:val="00B13900"/>
    <w:rsid w:val="00B13D69"/>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DAE"/>
    <w:rsid w:val="00B42144"/>
    <w:rsid w:val="00B4235B"/>
    <w:rsid w:val="00B42793"/>
    <w:rsid w:val="00B42877"/>
    <w:rsid w:val="00B44799"/>
    <w:rsid w:val="00B44A37"/>
    <w:rsid w:val="00B45355"/>
    <w:rsid w:val="00B46640"/>
    <w:rsid w:val="00B46916"/>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DDA"/>
    <w:rsid w:val="00B56DF0"/>
    <w:rsid w:val="00B5733E"/>
    <w:rsid w:val="00B57F55"/>
    <w:rsid w:val="00B601D3"/>
    <w:rsid w:val="00B60272"/>
    <w:rsid w:val="00B60800"/>
    <w:rsid w:val="00B621F4"/>
    <w:rsid w:val="00B6266F"/>
    <w:rsid w:val="00B63002"/>
    <w:rsid w:val="00B63337"/>
    <w:rsid w:val="00B63CE0"/>
    <w:rsid w:val="00B645CE"/>
    <w:rsid w:val="00B64DDB"/>
    <w:rsid w:val="00B6508F"/>
    <w:rsid w:val="00B65209"/>
    <w:rsid w:val="00B658C6"/>
    <w:rsid w:val="00B66996"/>
    <w:rsid w:val="00B669BE"/>
    <w:rsid w:val="00B66D8E"/>
    <w:rsid w:val="00B66DAD"/>
    <w:rsid w:val="00B6767E"/>
    <w:rsid w:val="00B67DC2"/>
    <w:rsid w:val="00B704CA"/>
    <w:rsid w:val="00B70F65"/>
    <w:rsid w:val="00B71489"/>
    <w:rsid w:val="00B718AB"/>
    <w:rsid w:val="00B71F41"/>
    <w:rsid w:val="00B7212A"/>
    <w:rsid w:val="00B7267A"/>
    <w:rsid w:val="00B729E1"/>
    <w:rsid w:val="00B730A7"/>
    <w:rsid w:val="00B732FC"/>
    <w:rsid w:val="00B735F9"/>
    <w:rsid w:val="00B739E4"/>
    <w:rsid w:val="00B73B3B"/>
    <w:rsid w:val="00B73B9B"/>
    <w:rsid w:val="00B73E37"/>
    <w:rsid w:val="00B75245"/>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3BE"/>
    <w:rsid w:val="00B83AD7"/>
    <w:rsid w:val="00B84437"/>
    <w:rsid w:val="00B84792"/>
    <w:rsid w:val="00B84B49"/>
    <w:rsid w:val="00B870D1"/>
    <w:rsid w:val="00B87519"/>
    <w:rsid w:val="00B87BA3"/>
    <w:rsid w:val="00B91105"/>
    <w:rsid w:val="00B91C32"/>
    <w:rsid w:val="00B924F6"/>
    <w:rsid w:val="00B92668"/>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B40"/>
    <w:rsid w:val="00BA47FE"/>
    <w:rsid w:val="00BA4A39"/>
    <w:rsid w:val="00BA4B13"/>
    <w:rsid w:val="00BA4DC5"/>
    <w:rsid w:val="00BA4F15"/>
    <w:rsid w:val="00BA589D"/>
    <w:rsid w:val="00BA6D00"/>
    <w:rsid w:val="00BA7C92"/>
    <w:rsid w:val="00BA7D5C"/>
    <w:rsid w:val="00BB0CF2"/>
    <w:rsid w:val="00BB0D59"/>
    <w:rsid w:val="00BB1CA2"/>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A39"/>
    <w:rsid w:val="00BC6FEE"/>
    <w:rsid w:val="00BC76E8"/>
    <w:rsid w:val="00BC7AB7"/>
    <w:rsid w:val="00BC7BD4"/>
    <w:rsid w:val="00BD0858"/>
    <w:rsid w:val="00BD088E"/>
    <w:rsid w:val="00BD0974"/>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A81"/>
    <w:rsid w:val="00BE79B1"/>
    <w:rsid w:val="00BF0C64"/>
    <w:rsid w:val="00BF10BC"/>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702E"/>
    <w:rsid w:val="00C071A7"/>
    <w:rsid w:val="00C07667"/>
    <w:rsid w:val="00C077CE"/>
    <w:rsid w:val="00C1065E"/>
    <w:rsid w:val="00C10D06"/>
    <w:rsid w:val="00C119CC"/>
    <w:rsid w:val="00C123C3"/>
    <w:rsid w:val="00C12401"/>
    <w:rsid w:val="00C1241F"/>
    <w:rsid w:val="00C1274B"/>
    <w:rsid w:val="00C13014"/>
    <w:rsid w:val="00C135E3"/>
    <w:rsid w:val="00C13D66"/>
    <w:rsid w:val="00C14255"/>
    <w:rsid w:val="00C14541"/>
    <w:rsid w:val="00C14773"/>
    <w:rsid w:val="00C1478B"/>
    <w:rsid w:val="00C150C6"/>
    <w:rsid w:val="00C15EDB"/>
    <w:rsid w:val="00C16198"/>
    <w:rsid w:val="00C1675B"/>
    <w:rsid w:val="00C16C4F"/>
    <w:rsid w:val="00C16CA0"/>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31852"/>
    <w:rsid w:val="00C3187D"/>
    <w:rsid w:val="00C328B1"/>
    <w:rsid w:val="00C32C8F"/>
    <w:rsid w:val="00C32CA6"/>
    <w:rsid w:val="00C33F34"/>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6E01"/>
    <w:rsid w:val="00C47466"/>
    <w:rsid w:val="00C4780F"/>
    <w:rsid w:val="00C47944"/>
    <w:rsid w:val="00C47E13"/>
    <w:rsid w:val="00C5011A"/>
    <w:rsid w:val="00C505D8"/>
    <w:rsid w:val="00C507C9"/>
    <w:rsid w:val="00C50DF6"/>
    <w:rsid w:val="00C5117A"/>
    <w:rsid w:val="00C51760"/>
    <w:rsid w:val="00C51916"/>
    <w:rsid w:val="00C52410"/>
    <w:rsid w:val="00C525B3"/>
    <w:rsid w:val="00C52652"/>
    <w:rsid w:val="00C53372"/>
    <w:rsid w:val="00C541BE"/>
    <w:rsid w:val="00C5531A"/>
    <w:rsid w:val="00C55384"/>
    <w:rsid w:val="00C5590E"/>
    <w:rsid w:val="00C56FCC"/>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E3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416"/>
    <w:rsid w:val="00CC5993"/>
    <w:rsid w:val="00CC6167"/>
    <w:rsid w:val="00CC61E3"/>
    <w:rsid w:val="00CC6E7A"/>
    <w:rsid w:val="00CC7AB4"/>
    <w:rsid w:val="00CD003E"/>
    <w:rsid w:val="00CD005E"/>
    <w:rsid w:val="00CD177D"/>
    <w:rsid w:val="00CD259E"/>
    <w:rsid w:val="00CD2AD8"/>
    <w:rsid w:val="00CD35E6"/>
    <w:rsid w:val="00CD40C4"/>
    <w:rsid w:val="00CD41A9"/>
    <w:rsid w:val="00CD4710"/>
    <w:rsid w:val="00CD4B26"/>
    <w:rsid w:val="00CD54A2"/>
    <w:rsid w:val="00CD5ED3"/>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BB1"/>
    <w:rsid w:val="00D02C40"/>
    <w:rsid w:val="00D03718"/>
    <w:rsid w:val="00D03A33"/>
    <w:rsid w:val="00D03A8A"/>
    <w:rsid w:val="00D050B0"/>
    <w:rsid w:val="00D059D8"/>
    <w:rsid w:val="00D05DF8"/>
    <w:rsid w:val="00D05E4F"/>
    <w:rsid w:val="00D064E8"/>
    <w:rsid w:val="00D06708"/>
    <w:rsid w:val="00D06AE8"/>
    <w:rsid w:val="00D07CAE"/>
    <w:rsid w:val="00D07F0C"/>
    <w:rsid w:val="00D07F38"/>
    <w:rsid w:val="00D10390"/>
    <w:rsid w:val="00D10523"/>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435"/>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D5A"/>
    <w:rsid w:val="00D35F9F"/>
    <w:rsid w:val="00D3626A"/>
    <w:rsid w:val="00D37E2C"/>
    <w:rsid w:val="00D4069B"/>
    <w:rsid w:val="00D40835"/>
    <w:rsid w:val="00D40AEE"/>
    <w:rsid w:val="00D41ADD"/>
    <w:rsid w:val="00D433D2"/>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C12"/>
    <w:rsid w:val="00D51573"/>
    <w:rsid w:val="00D51749"/>
    <w:rsid w:val="00D5181B"/>
    <w:rsid w:val="00D5183D"/>
    <w:rsid w:val="00D51BC1"/>
    <w:rsid w:val="00D53232"/>
    <w:rsid w:val="00D53450"/>
    <w:rsid w:val="00D539E6"/>
    <w:rsid w:val="00D5577E"/>
    <w:rsid w:val="00D56A62"/>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34D1"/>
    <w:rsid w:val="00D74499"/>
    <w:rsid w:val="00D745B1"/>
    <w:rsid w:val="00D74C1B"/>
    <w:rsid w:val="00D752A3"/>
    <w:rsid w:val="00D75B47"/>
    <w:rsid w:val="00D76220"/>
    <w:rsid w:val="00D764D3"/>
    <w:rsid w:val="00D77B7B"/>
    <w:rsid w:val="00D77F62"/>
    <w:rsid w:val="00D80274"/>
    <w:rsid w:val="00D8028B"/>
    <w:rsid w:val="00D81603"/>
    <w:rsid w:val="00D819D5"/>
    <w:rsid w:val="00D819F7"/>
    <w:rsid w:val="00D81E6F"/>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405"/>
    <w:rsid w:val="00DA6FA3"/>
    <w:rsid w:val="00DA71E3"/>
    <w:rsid w:val="00DA75E5"/>
    <w:rsid w:val="00DA79AE"/>
    <w:rsid w:val="00DB0363"/>
    <w:rsid w:val="00DB08C6"/>
    <w:rsid w:val="00DB1971"/>
    <w:rsid w:val="00DB1D8E"/>
    <w:rsid w:val="00DB301E"/>
    <w:rsid w:val="00DB335A"/>
    <w:rsid w:val="00DB351A"/>
    <w:rsid w:val="00DB3638"/>
    <w:rsid w:val="00DB39F0"/>
    <w:rsid w:val="00DB3A47"/>
    <w:rsid w:val="00DB3D92"/>
    <w:rsid w:val="00DB449C"/>
    <w:rsid w:val="00DB4513"/>
    <w:rsid w:val="00DB4547"/>
    <w:rsid w:val="00DB47E8"/>
    <w:rsid w:val="00DB4B88"/>
    <w:rsid w:val="00DB5E6E"/>
    <w:rsid w:val="00DB5ECC"/>
    <w:rsid w:val="00DB6D3F"/>
    <w:rsid w:val="00DB72AF"/>
    <w:rsid w:val="00DB7730"/>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4447"/>
    <w:rsid w:val="00DD4BDA"/>
    <w:rsid w:val="00DD4D8F"/>
    <w:rsid w:val="00DD55E0"/>
    <w:rsid w:val="00DD5FAA"/>
    <w:rsid w:val="00DD603D"/>
    <w:rsid w:val="00DD7E89"/>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800"/>
    <w:rsid w:val="00DF34FE"/>
    <w:rsid w:val="00DF4D29"/>
    <w:rsid w:val="00DF5939"/>
    <w:rsid w:val="00DF5E4B"/>
    <w:rsid w:val="00DF5F30"/>
    <w:rsid w:val="00DF6BE6"/>
    <w:rsid w:val="00DF6CD2"/>
    <w:rsid w:val="00DF70CE"/>
    <w:rsid w:val="00DF737B"/>
    <w:rsid w:val="00DF747F"/>
    <w:rsid w:val="00DF777C"/>
    <w:rsid w:val="00DF7ED2"/>
    <w:rsid w:val="00E00AC0"/>
    <w:rsid w:val="00E018D7"/>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280"/>
    <w:rsid w:val="00E24656"/>
    <w:rsid w:val="00E251EC"/>
    <w:rsid w:val="00E257A7"/>
    <w:rsid w:val="00E258BF"/>
    <w:rsid w:val="00E26244"/>
    <w:rsid w:val="00E26DB9"/>
    <w:rsid w:val="00E27222"/>
    <w:rsid w:val="00E27E57"/>
    <w:rsid w:val="00E27FC2"/>
    <w:rsid w:val="00E3051C"/>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479"/>
    <w:rsid w:val="00E4060A"/>
    <w:rsid w:val="00E40D62"/>
    <w:rsid w:val="00E41083"/>
    <w:rsid w:val="00E41430"/>
    <w:rsid w:val="00E439DA"/>
    <w:rsid w:val="00E43B5F"/>
    <w:rsid w:val="00E43F8E"/>
    <w:rsid w:val="00E44305"/>
    <w:rsid w:val="00E445CB"/>
    <w:rsid w:val="00E44D5C"/>
    <w:rsid w:val="00E45FB6"/>
    <w:rsid w:val="00E46037"/>
    <w:rsid w:val="00E464DA"/>
    <w:rsid w:val="00E4675F"/>
    <w:rsid w:val="00E469BD"/>
    <w:rsid w:val="00E469DD"/>
    <w:rsid w:val="00E47226"/>
    <w:rsid w:val="00E5039C"/>
    <w:rsid w:val="00E506A0"/>
    <w:rsid w:val="00E51205"/>
    <w:rsid w:val="00E51AFB"/>
    <w:rsid w:val="00E51CE8"/>
    <w:rsid w:val="00E51E73"/>
    <w:rsid w:val="00E51F46"/>
    <w:rsid w:val="00E52365"/>
    <w:rsid w:val="00E524D6"/>
    <w:rsid w:val="00E52EC8"/>
    <w:rsid w:val="00E52EF0"/>
    <w:rsid w:val="00E54D5E"/>
    <w:rsid w:val="00E57BAF"/>
    <w:rsid w:val="00E60E2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579"/>
    <w:rsid w:val="00E93A02"/>
    <w:rsid w:val="00E93C02"/>
    <w:rsid w:val="00E943FF"/>
    <w:rsid w:val="00E946A6"/>
    <w:rsid w:val="00E94C64"/>
    <w:rsid w:val="00E954EC"/>
    <w:rsid w:val="00E9575B"/>
    <w:rsid w:val="00E95E3B"/>
    <w:rsid w:val="00E96745"/>
    <w:rsid w:val="00E9707C"/>
    <w:rsid w:val="00E97137"/>
    <w:rsid w:val="00E97356"/>
    <w:rsid w:val="00EA073A"/>
    <w:rsid w:val="00EA0904"/>
    <w:rsid w:val="00EA0FCF"/>
    <w:rsid w:val="00EA1D43"/>
    <w:rsid w:val="00EA25CF"/>
    <w:rsid w:val="00EA28F9"/>
    <w:rsid w:val="00EA290D"/>
    <w:rsid w:val="00EA2A6C"/>
    <w:rsid w:val="00EA2BFD"/>
    <w:rsid w:val="00EA2D24"/>
    <w:rsid w:val="00EA2DBF"/>
    <w:rsid w:val="00EA392A"/>
    <w:rsid w:val="00EA3BC6"/>
    <w:rsid w:val="00EA3BE6"/>
    <w:rsid w:val="00EA3CC6"/>
    <w:rsid w:val="00EA4201"/>
    <w:rsid w:val="00EA4327"/>
    <w:rsid w:val="00EA53C6"/>
    <w:rsid w:val="00EA57AB"/>
    <w:rsid w:val="00EA601F"/>
    <w:rsid w:val="00EA6746"/>
    <w:rsid w:val="00EA6F0D"/>
    <w:rsid w:val="00EA709C"/>
    <w:rsid w:val="00EA70ED"/>
    <w:rsid w:val="00EA719A"/>
    <w:rsid w:val="00EB002D"/>
    <w:rsid w:val="00EB005C"/>
    <w:rsid w:val="00EB0645"/>
    <w:rsid w:val="00EB1743"/>
    <w:rsid w:val="00EB19F9"/>
    <w:rsid w:val="00EB241D"/>
    <w:rsid w:val="00EB2B64"/>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11B"/>
    <w:rsid w:val="00EC43ED"/>
    <w:rsid w:val="00EC5328"/>
    <w:rsid w:val="00EC55BB"/>
    <w:rsid w:val="00EC5AB8"/>
    <w:rsid w:val="00EC5DC1"/>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E89"/>
    <w:rsid w:val="00F20815"/>
    <w:rsid w:val="00F2095E"/>
    <w:rsid w:val="00F21801"/>
    <w:rsid w:val="00F22353"/>
    <w:rsid w:val="00F22E1E"/>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57EE"/>
    <w:rsid w:val="00F360E9"/>
    <w:rsid w:val="00F365CE"/>
    <w:rsid w:val="00F41DEF"/>
    <w:rsid w:val="00F429B6"/>
    <w:rsid w:val="00F42DFF"/>
    <w:rsid w:val="00F436DB"/>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47DE"/>
    <w:rsid w:val="00F64FE7"/>
    <w:rsid w:val="00F66123"/>
    <w:rsid w:val="00F6623A"/>
    <w:rsid w:val="00F665FA"/>
    <w:rsid w:val="00F66A34"/>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25FC"/>
    <w:rsid w:val="00F94182"/>
    <w:rsid w:val="00F9443F"/>
    <w:rsid w:val="00F94559"/>
    <w:rsid w:val="00F94CBE"/>
    <w:rsid w:val="00F95061"/>
    <w:rsid w:val="00F9509B"/>
    <w:rsid w:val="00F95166"/>
    <w:rsid w:val="00F952B4"/>
    <w:rsid w:val="00F95F6B"/>
    <w:rsid w:val="00F9606B"/>
    <w:rsid w:val="00F96497"/>
    <w:rsid w:val="00F96550"/>
    <w:rsid w:val="00F9657A"/>
    <w:rsid w:val="00F96885"/>
    <w:rsid w:val="00F96E5C"/>
    <w:rsid w:val="00FA0072"/>
    <w:rsid w:val="00FA042F"/>
    <w:rsid w:val="00FA1E4D"/>
    <w:rsid w:val="00FA24C0"/>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C0687"/>
    <w:rsid w:val="00FC0851"/>
    <w:rsid w:val="00FC0E66"/>
    <w:rsid w:val="00FC0E86"/>
    <w:rsid w:val="00FC1C03"/>
    <w:rsid w:val="00FC1EEE"/>
    <w:rsid w:val="00FC22E8"/>
    <w:rsid w:val="00FC2560"/>
    <w:rsid w:val="00FC2F6F"/>
    <w:rsid w:val="00FC396F"/>
    <w:rsid w:val="00FC3AEE"/>
    <w:rsid w:val="00FC3FFB"/>
    <w:rsid w:val="00FC4453"/>
    <w:rsid w:val="00FC44B4"/>
    <w:rsid w:val="00FC45AC"/>
    <w:rsid w:val="00FC4B60"/>
    <w:rsid w:val="00FC5DD9"/>
    <w:rsid w:val="00FC6262"/>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4A8"/>
    <w:rsid w:val="00FF76A8"/>
    <w:rsid w:val="00FF789A"/>
    <w:rsid w:val="00FF789C"/>
    <w:rsid w:val="00FF7E3B"/>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D084D4"/>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7F38"/>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4"/>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07F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F3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lang w:val="en-GB"/>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link w:val="ListParagraph"/>
    <w:uiPriority w:val="34"/>
    <w:locked/>
    <w:rsid w:val="002B63C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29786878">
          <w:marLeft w:val="547"/>
          <w:marRight w:val="0"/>
          <w:marTop w:val="0"/>
          <w:marBottom w:val="0"/>
          <w:divBdr>
            <w:top w:val="none" w:sz="0" w:space="0" w:color="auto"/>
            <w:left w:val="none" w:sz="0" w:space="0" w:color="auto"/>
            <w:bottom w:val="none" w:sz="0" w:space="0" w:color="auto"/>
            <w:right w:val="none" w:sz="0" w:space="0" w:color="auto"/>
          </w:divBdr>
        </w:div>
        <w:div w:id="49770916">
          <w:marLeft w:val="1166"/>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2016179286">
          <w:marLeft w:val="547"/>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359279281">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5AIRPNAIUNRU-1830940522-1887</_dlc_DocId>
    <_dlc_DocIdUrl xmlns="71c5aaf6-e6ce-465b-b873-5148d2a4c105">
      <Url>https://nokia.sharepoint.com/sites/c5g/5gradio/_layouts/15/DocIdRedir.aspx?ID=5AIRPNAIUNRU-1830940522-1887</Url>
      <Description>5AIRPNAIUNRU-1830940522-1887</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2.xml><?xml version="1.0" encoding="utf-8"?>
<ds:datastoreItem xmlns:ds="http://schemas.openxmlformats.org/officeDocument/2006/customXml" ds:itemID="{137B90B7-481C-48E9-9462-51733308A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4.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5.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6.xml><?xml version="1.0" encoding="utf-8"?>
<ds:datastoreItem xmlns:ds="http://schemas.openxmlformats.org/officeDocument/2006/customXml" ds:itemID="{DC3294E8-6393-48BC-AFAA-1CA4575E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12</Pages>
  <Words>5492</Words>
  <Characters>31306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Karol</cp:lastModifiedBy>
  <cp:revision>10</cp:revision>
  <dcterms:created xsi:type="dcterms:W3CDTF">2017-09-11T14:24:00Z</dcterms:created>
  <dcterms:modified xsi:type="dcterms:W3CDTF">2017-09-11T17:36:00Z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ff32900a-c554-4fd2-b4b0-8c641ed0c6ef</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